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3B6799EF" w:rsidR="00127EF0" w:rsidRDefault="002A6CF8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52770780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222266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0E06CD49" w:rsidR="00AD4C46" w:rsidRPr="000478F6" w:rsidRDefault="008C0813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March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DB149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0E06CD49" w:rsidR="00AD4C46" w:rsidRPr="000478F6" w:rsidRDefault="008C0813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March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DB149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9941D17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502162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A0192A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A0192A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36BBFDDF" w:rsidR="00127EF0" w:rsidRPr="00AD4C46" w:rsidRDefault="008C0813" w:rsidP="00AD4C46">
      <w:pPr>
        <w:pStyle w:val="Heading1"/>
      </w:pPr>
      <w:r>
        <w:t>February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0A4FCB">
        <w:t>Up</w:t>
      </w:r>
      <w:r w:rsidR="00AA0E2E">
        <w:t xml:space="preserve"> </w:t>
      </w:r>
      <w:r w:rsidR="00E15A74">
        <w:t>11</w:t>
      </w:r>
      <w:r w:rsidR="00AA0E2E">
        <w:t>.</w:t>
      </w:r>
      <w:r w:rsidR="00E15A74">
        <w:t>2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05459DDD" w:rsidR="00E302C4" w:rsidRPr="002F2B80" w:rsidRDefault="00E15A74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2-Month Streak in </w:t>
            </w:r>
            <w:r w:rsidR="00887F9F">
              <w:rPr>
                <w:sz w:val="24"/>
                <w:szCs w:val="24"/>
              </w:rPr>
              <w:t xml:space="preserve">Sales </w:t>
            </w:r>
            <w:r>
              <w:rPr>
                <w:sz w:val="24"/>
                <w:szCs w:val="24"/>
              </w:rPr>
              <w:t xml:space="preserve">Since </w:t>
            </w:r>
            <w:r w:rsidR="000A4FC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1C5A7A4A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</w:t>
            </w:r>
            <w:r w:rsidR="00B57FF6">
              <w:rPr>
                <w:sz w:val="24"/>
                <w:szCs w:val="24"/>
              </w:rPr>
              <w:t>Up</w:t>
            </w:r>
            <w:r w:rsidR="003119B1">
              <w:rPr>
                <w:sz w:val="24"/>
                <w:szCs w:val="24"/>
              </w:rPr>
              <w:t xml:space="preserve"> for </w:t>
            </w:r>
            <w:r w:rsidR="00E15A74">
              <w:rPr>
                <w:sz w:val="24"/>
                <w:szCs w:val="24"/>
              </w:rPr>
              <w:t>7</w:t>
            </w:r>
            <w:r w:rsidR="00077C46" w:rsidRPr="00077C46">
              <w:rPr>
                <w:sz w:val="24"/>
                <w:szCs w:val="24"/>
                <w:vertAlign w:val="superscript"/>
              </w:rPr>
              <w:t>th</w:t>
            </w:r>
            <w:r w:rsidR="00077C46">
              <w:rPr>
                <w:sz w:val="24"/>
                <w:szCs w:val="24"/>
              </w:rPr>
              <w:t xml:space="preserve"> </w:t>
            </w:r>
            <w:r w:rsidR="003119B1">
              <w:rPr>
                <w:sz w:val="24"/>
                <w:szCs w:val="24"/>
              </w:rPr>
              <w:t>Month</w:t>
            </w:r>
            <w:r w:rsidR="00402898">
              <w:rPr>
                <w:sz w:val="24"/>
                <w:szCs w:val="24"/>
              </w:rPr>
              <w:t xml:space="preserve"> in a Row</w:t>
            </w:r>
            <w:r w:rsidR="006F6AA8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517556A6" w:rsidR="00E302C4" w:rsidRPr="002F2B80" w:rsidRDefault="001F06D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Prices </w:t>
            </w:r>
            <w:r w:rsidR="00077C46">
              <w:rPr>
                <w:sz w:val="24"/>
                <w:szCs w:val="24"/>
              </w:rPr>
              <w:t>Down 2.2</w:t>
            </w:r>
            <w:r>
              <w:rPr>
                <w:sz w:val="24"/>
                <w:szCs w:val="24"/>
              </w:rPr>
              <w:t xml:space="preserve">% </w:t>
            </w:r>
            <w:r w:rsidR="006F6AA8">
              <w:rPr>
                <w:sz w:val="24"/>
                <w:szCs w:val="24"/>
              </w:rPr>
              <w:t xml:space="preserve"> </w:t>
            </w:r>
            <w:r w:rsidR="002853E5">
              <w:rPr>
                <w:sz w:val="24"/>
                <w:szCs w:val="24"/>
              </w:rPr>
              <w:t xml:space="preserve">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932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67B9DE50" w:rsidR="00B170CC" w:rsidRPr="00627017" w:rsidRDefault="00E15A74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5185AF2A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077C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DF165A7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077C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E15A74" w:rsidRPr="00627017" w14:paraId="2030632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3DDB16BE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534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577F0A5C" w:rsidR="00E15A74" w:rsidRPr="00627017" w:rsidRDefault="00E15A74" w:rsidP="00E15A74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619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5B5EC9C7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15.9%</w:t>
            </w:r>
          </w:p>
        </w:tc>
      </w:tr>
      <w:tr w:rsidR="00E15A74" w:rsidRPr="00627017" w14:paraId="476C4D87" w14:textId="77777777" w:rsidTr="007F6B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7FA8C2F9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06F8D0B2" w:rsidR="00E15A74" w:rsidRPr="00627017" w:rsidRDefault="00E15A74" w:rsidP="00E15A74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225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2DDE6BFB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0.9%</w:t>
            </w:r>
          </w:p>
        </w:tc>
      </w:tr>
      <w:tr w:rsidR="00E15A74" w:rsidRPr="00627017" w14:paraId="7C64D00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0640E648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59DECFF7" w:rsidR="00E15A74" w:rsidRPr="00627017" w:rsidRDefault="00E15A74" w:rsidP="00E15A74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647DE671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-15.8%</w:t>
            </w:r>
          </w:p>
        </w:tc>
      </w:tr>
      <w:tr w:rsidR="00E15A74" w:rsidRPr="00627017" w14:paraId="73B88858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58A24919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44D2BB83" w:rsidR="00E15A74" w:rsidRPr="00627017" w:rsidRDefault="00E15A74" w:rsidP="00E15A74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6831AC57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31.7%</w:t>
            </w:r>
          </w:p>
        </w:tc>
      </w:tr>
      <w:tr w:rsidR="00E15A74" w:rsidRPr="00627017" w14:paraId="29367927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1F01B2BD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877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76AD3F9C" w:rsidR="00E15A74" w:rsidRPr="00627017" w:rsidRDefault="00E15A74" w:rsidP="00E15A74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975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7068E593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B3C">
              <w:t>11.2%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5A74" w:rsidRPr="00627017" w14:paraId="4DB026E3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64993431" w:rsidR="00E15A74" w:rsidRPr="00627017" w:rsidRDefault="00E15A74" w:rsidP="00E15A74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142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550FFF02" w:rsidR="00E15A74" w:rsidRPr="00627017" w:rsidRDefault="00E15A74" w:rsidP="00E15A74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143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3C375329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0.7%</w:t>
            </w:r>
          </w:p>
        </w:tc>
      </w:tr>
      <w:tr w:rsidR="00E15A74" w:rsidRPr="00627017" w14:paraId="509D9972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4C8F1098" w:rsidR="00E15A74" w:rsidRPr="00627017" w:rsidRDefault="00E15A74" w:rsidP="00E15A74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95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6B91638D" w:rsidR="00E15A74" w:rsidRPr="00627017" w:rsidRDefault="00E15A74" w:rsidP="00E15A74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2CC70074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-14.7%</w:t>
            </w:r>
          </w:p>
        </w:tc>
      </w:tr>
      <w:tr w:rsidR="00E15A74" w:rsidRPr="00627017" w14:paraId="42ECBD06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034913B7" w:rsidR="00E15A74" w:rsidRPr="00627017" w:rsidRDefault="00E15A74" w:rsidP="00E15A74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22978D3D" w:rsidR="00E15A74" w:rsidRPr="00627017" w:rsidRDefault="00E15A74" w:rsidP="00E15A74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79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735F1D7B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31.7%</w:t>
            </w:r>
          </w:p>
        </w:tc>
      </w:tr>
      <w:tr w:rsidR="00E15A74" w:rsidRPr="00627017" w14:paraId="122A5C4D" w14:textId="77777777" w:rsidTr="004B2A93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10BF9452" w:rsidR="00E15A74" w:rsidRPr="00627017" w:rsidRDefault="00E15A74" w:rsidP="00E15A74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1,174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29F5500F" w:rsidR="00E15A74" w:rsidRPr="00627017" w:rsidRDefault="00E15A74" w:rsidP="00E15A74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1,278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6A12B7C5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DD3">
              <w:t>8.9%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6F7AF3D4" w:rsidR="00F264CF" w:rsidRPr="00627017" w:rsidRDefault="00E15A74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18D7E0F5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077C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56261167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077C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E15A74" w:rsidRPr="00627017" w14:paraId="1AA23907" w14:textId="77777777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00CC3EF6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703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0332B3D6" w:rsidR="00E15A74" w:rsidRPr="00627017" w:rsidRDefault="00E15A74" w:rsidP="00E15A74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810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1DA0711D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15.2%</w:t>
            </w:r>
          </w:p>
        </w:tc>
      </w:tr>
      <w:tr w:rsidR="00E15A74" w:rsidRPr="00627017" w14:paraId="57BCDE1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023AA26A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292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1A672773" w:rsidR="00E15A74" w:rsidRPr="00627017" w:rsidRDefault="00E15A74" w:rsidP="00E15A74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320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61E5A509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9.6%</w:t>
            </w:r>
          </w:p>
        </w:tc>
      </w:tr>
      <w:tr w:rsidR="00E15A74" w:rsidRPr="00627017" w14:paraId="355A5DBE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0E8387FF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84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44926754" w:rsidR="00E15A74" w:rsidRPr="00627017" w:rsidRDefault="00E15A74" w:rsidP="00E15A74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7E9D133F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-8.3%</w:t>
            </w:r>
          </w:p>
        </w:tc>
      </w:tr>
      <w:tr w:rsidR="00E15A74" w:rsidRPr="00627017" w14:paraId="64E87CC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53A6041F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429BC93D" w:rsidR="00E15A74" w:rsidRPr="00627017" w:rsidRDefault="00E15A74" w:rsidP="00E15A74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144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7DC159AB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46.9%</w:t>
            </w:r>
          </w:p>
        </w:tc>
      </w:tr>
      <w:tr w:rsidR="00E15A74" w:rsidRPr="00627017" w14:paraId="45CEE296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13B361F1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1,177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7FFEF751" w:rsidR="00E15A74" w:rsidRPr="00627017" w:rsidRDefault="00E15A74" w:rsidP="00E15A74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1,351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308574F2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645">
              <w:t>14.8%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5A74" w:rsidRPr="00627017" w14:paraId="6862758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0D96F2C7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7429A2FE" w:rsidR="00E15A74" w:rsidRPr="00627017" w:rsidRDefault="00E15A74" w:rsidP="00E15A74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60339D9E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10.4%</w:t>
            </w:r>
          </w:p>
        </w:tc>
      </w:tr>
      <w:tr w:rsidR="00E15A74" w:rsidRPr="00627017" w14:paraId="43BFC7D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2C7AA750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337AA4A5" w:rsidR="00E15A74" w:rsidRPr="00627017" w:rsidRDefault="00E15A74" w:rsidP="00E15A74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5DD3F765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17.7%</w:t>
            </w:r>
          </w:p>
        </w:tc>
      </w:tr>
      <w:tr w:rsidR="00E15A74" w:rsidRPr="00627017" w14:paraId="74C7B9C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118C5645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69E37717" w:rsidR="00E15A74" w:rsidRPr="00627017" w:rsidRDefault="00E15A74" w:rsidP="00E15A74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3908A053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68.9%</w:t>
            </w:r>
          </w:p>
        </w:tc>
      </w:tr>
      <w:tr w:rsidR="00E15A74" w:rsidRPr="00627017" w14:paraId="719D3710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E15A74" w:rsidRPr="00627017" w:rsidRDefault="00E15A74" w:rsidP="00E15A74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39ED2925" w:rsidR="00E15A74" w:rsidRPr="00627017" w:rsidRDefault="00E15A74" w:rsidP="00E15A74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1,535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542D6A1D" w:rsidR="00E15A74" w:rsidRPr="00627017" w:rsidRDefault="00E15A74" w:rsidP="00E15A74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1,808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33CD2BBF" w:rsidR="00E15A74" w:rsidRPr="00627017" w:rsidRDefault="00E15A74" w:rsidP="00E15A74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E71">
              <w:t>17.8%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33D96240" w14:textId="77777777" w:rsidR="00EB2C09" w:rsidRDefault="00402898" w:rsidP="00F84C72">
      <w:pPr>
        <w:rPr>
          <w:highlight w:val="yellow"/>
        </w:rPr>
      </w:pPr>
      <w:r>
        <w:t>H</w:t>
      </w:r>
      <w:r w:rsidR="00123E7A">
        <w:t>ome sales</w:t>
      </w:r>
      <w:r w:rsidR="00EE505B">
        <w:t xml:space="preserve"> </w:t>
      </w:r>
      <w:r>
        <w:t xml:space="preserve">in the Metropolitan Milwaukee market </w:t>
      </w:r>
      <w:r w:rsidR="00EE505B">
        <w:t xml:space="preserve">were </w:t>
      </w:r>
      <w:r w:rsidR="00077C46">
        <w:t>up</w:t>
      </w:r>
      <w:r w:rsidR="002D4641" w:rsidRPr="002D4641">
        <w:t xml:space="preserve"> </w:t>
      </w:r>
      <w:r w:rsidR="00E15A74">
        <w:t xml:space="preserve">again </w:t>
      </w:r>
      <w:r w:rsidR="002D4641">
        <w:t xml:space="preserve">in </w:t>
      </w:r>
      <w:r w:rsidR="00E15A74">
        <w:t>February. Similar to last month</w:t>
      </w:r>
      <w:r w:rsidR="009A52FF">
        <w:t xml:space="preserve">, </w:t>
      </w:r>
      <w:r w:rsidR="00E15A74">
        <w:t xml:space="preserve">however, </w:t>
      </w:r>
      <w:r w:rsidR="00077C46">
        <w:t xml:space="preserve">sales in </w:t>
      </w:r>
      <w:r w:rsidR="00E15A74">
        <w:t>February</w:t>
      </w:r>
      <w:r w:rsidR="00077C46">
        <w:t xml:space="preserve"> 2023 were extremely low</w:t>
      </w:r>
      <w:r w:rsidR="002D4641">
        <w:t xml:space="preserve">. </w:t>
      </w:r>
      <w:r w:rsidR="00077C46">
        <w:t>Th</w:t>
      </w:r>
      <w:r w:rsidR="009A52FF">
        <w:t xml:space="preserve">is </w:t>
      </w:r>
      <w:r w:rsidR="00E15A74">
        <w:t>February</w:t>
      </w:r>
      <w:r w:rsidR="009A52FF">
        <w:t xml:space="preserve"> only saw </w:t>
      </w:r>
      <w:r w:rsidR="00EB2C09">
        <w:t>98</w:t>
      </w:r>
      <w:r w:rsidR="00077C46">
        <w:t xml:space="preserve"> additional </w:t>
      </w:r>
      <w:r w:rsidR="00EB2C09">
        <w:t xml:space="preserve">unit </w:t>
      </w:r>
      <w:r w:rsidR="00077C46">
        <w:t>sales</w:t>
      </w:r>
      <w:r w:rsidR="009A52FF">
        <w:t xml:space="preserve">, which were </w:t>
      </w:r>
      <w:r w:rsidR="00EB2C09">
        <w:t xml:space="preserve">certainly </w:t>
      </w:r>
      <w:r w:rsidR="00077C46">
        <w:t xml:space="preserve">welcome but well below the 1,000+ sales the market </w:t>
      </w:r>
      <w:r w:rsidR="009A52FF">
        <w:t>s</w:t>
      </w:r>
      <w:r w:rsidR="00EB2C09">
        <w:t>aw</w:t>
      </w:r>
      <w:r w:rsidR="00077C46">
        <w:t xml:space="preserve"> in recent years.</w:t>
      </w:r>
      <w:r w:rsidR="00EB2C09" w:rsidRPr="00EB2C09">
        <w:rPr>
          <w:highlight w:val="yellow"/>
        </w:rPr>
        <w:t xml:space="preserve"> </w:t>
      </w:r>
    </w:p>
    <w:p w14:paraId="15FA1A91" w14:textId="77777777" w:rsidR="00EB2C09" w:rsidRDefault="00EB2C09" w:rsidP="00F84C72">
      <w:pPr>
        <w:rPr>
          <w:highlight w:val="yellow"/>
        </w:rPr>
      </w:pPr>
    </w:p>
    <w:p w14:paraId="640AB3B6" w14:textId="0C1D7816" w:rsidR="004B2A93" w:rsidRDefault="00EB2C09" w:rsidP="00F84C72">
      <w:r>
        <w:t>So, w</w:t>
      </w:r>
      <w:r w:rsidRPr="00EB2C09">
        <w:t xml:space="preserve">hile the market is going in the right direction, </w:t>
      </w:r>
      <w:r w:rsidRPr="00EB2C09">
        <w:t xml:space="preserve">any jubilation about </w:t>
      </w:r>
      <w:r w:rsidRPr="00EB2C09">
        <w:t>it has to be tempered</w:t>
      </w:r>
      <w:r w:rsidR="00A0192A">
        <w:t>.</w:t>
      </w:r>
    </w:p>
    <w:p w14:paraId="51DB5E5F" w14:textId="77777777" w:rsidR="00591C7A" w:rsidRDefault="00591C7A" w:rsidP="00F84C72"/>
    <w:p w14:paraId="0F480EFE" w14:textId="67E99234" w:rsidR="00F740A8" w:rsidRDefault="00EB2C09" w:rsidP="00F84C72">
      <w:r>
        <w:t>On the listings side t</w:t>
      </w:r>
      <w:r w:rsidR="009A52FF">
        <w:t xml:space="preserve">here was some </w:t>
      </w:r>
      <w:r w:rsidR="0080713D">
        <w:t>particularly good</w:t>
      </w:r>
      <w:r w:rsidR="009A52FF">
        <w:t xml:space="preserve"> news</w:t>
      </w:r>
      <w:r>
        <w:t>. New</w:t>
      </w:r>
      <w:r w:rsidR="009A52FF">
        <w:t xml:space="preserve"> </w:t>
      </w:r>
      <w:r>
        <w:t>l</w:t>
      </w:r>
      <w:r w:rsidR="00F72911">
        <w:t xml:space="preserve">istings </w:t>
      </w:r>
      <w:r w:rsidR="009A52FF">
        <w:t xml:space="preserve">were up </w:t>
      </w:r>
      <w:r>
        <w:t>14</w:t>
      </w:r>
      <w:r w:rsidR="009A52FF">
        <w:t>.</w:t>
      </w:r>
      <w:r>
        <w:t>8</w:t>
      </w:r>
      <w:r w:rsidR="009A52FF">
        <w:t xml:space="preserve">%, marking a </w:t>
      </w:r>
      <w:r>
        <w:t>7</w:t>
      </w:r>
      <w:r w:rsidR="009A52FF">
        <w:t xml:space="preserve">-month streak. </w:t>
      </w:r>
      <w:r w:rsidR="00F740A8">
        <w:t xml:space="preserve">That is the longest run of increasing listings in a decade. </w:t>
      </w:r>
    </w:p>
    <w:p w14:paraId="27F9FD7F" w14:textId="77777777" w:rsidR="00F740A8" w:rsidRDefault="00F740A8" w:rsidP="00F84C72"/>
    <w:p w14:paraId="4DCC6D47" w14:textId="73EBB0DE" w:rsidR="009A52FF" w:rsidRDefault="009A52FF" w:rsidP="00F84C72">
      <w:r>
        <w:t xml:space="preserve">But, placing those additional listings in context </w:t>
      </w:r>
      <w:r w:rsidR="00F740A8">
        <w:t xml:space="preserve">– while the trend is positive – </w:t>
      </w:r>
      <w:r>
        <w:t xml:space="preserve">the market is hundreds of listings behind where it needs to be to satisfy buyer demand. </w:t>
      </w:r>
    </w:p>
    <w:p w14:paraId="426A2B37" w14:textId="77777777" w:rsidR="009A52FF" w:rsidRDefault="009A52FF" w:rsidP="00F84C72"/>
    <w:p w14:paraId="1BAE4BAF" w14:textId="61C1F529" w:rsidR="00F72911" w:rsidRDefault="00726E63" w:rsidP="00F84C72">
      <w:r>
        <w:t>S</w:t>
      </w:r>
      <w:r w:rsidR="00F72911">
        <w:t xml:space="preserve">ales </w:t>
      </w:r>
      <w:r>
        <w:t>would be much higher if there were more homes available</w:t>
      </w:r>
      <w:r w:rsidR="00F72911">
        <w:t xml:space="preserve">. </w:t>
      </w:r>
    </w:p>
    <w:p w14:paraId="2198125B" w14:textId="77777777" w:rsidR="00F72911" w:rsidRDefault="00F72911" w:rsidP="00F84C72"/>
    <w:p w14:paraId="6D6F3955" w14:textId="6C24E692" w:rsidR="007825C7" w:rsidRDefault="00F72911" w:rsidP="00F84C72">
      <w:r>
        <w:t>I</w:t>
      </w:r>
      <w:r w:rsidR="004800DC">
        <w:t xml:space="preserve">nventory </w:t>
      </w:r>
      <w:r w:rsidR="00B57FF6">
        <w:t>wa</w:t>
      </w:r>
      <w:r w:rsidR="00372264">
        <w:t>s 2.</w:t>
      </w:r>
      <w:r w:rsidR="00F740A8">
        <w:t>2</w:t>
      </w:r>
      <w:r w:rsidR="004800DC">
        <w:t xml:space="preserve"> months </w:t>
      </w:r>
      <w:r w:rsidR="00B57FF6">
        <w:t xml:space="preserve">in </w:t>
      </w:r>
      <w:r w:rsidR="00E15A74">
        <w:t>February</w:t>
      </w:r>
      <w:r w:rsidR="00B57FF6">
        <w:t xml:space="preserve"> </w:t>
      </w:r>
      <w:r w:rsidR="004800DC">
        <w:t>(6 months is a balanced market), and if we take listings with an offer out</w:t>
      </w:r>
      <w:r w:rsidR="008F5538">
        <w:t>,</w:t>
      </w:r>
      <w:r w:rsidR="004800DC">
        <w:t xml:space="preserve"> the rate f</w:t>
      </w:r>
      <w:r w:rsidR="00B57FF6">
        <w:t>e</w:t>
      </w:r>
      <w:r w:rsidR="004800DC">
        <w:t xml:space="preserve">ll to </w:t>
      </w:r>
      <w:r w:rsidR="00F740A8">
        <w:t>1</w:t>
      </w:r>
      <w:r w:rsidR="004800DC">
        <w:t>.</w:t>
      </w:r>
      <w:r w:rsidR="00F740A8">
        <w:t>0</w:t>
      </w:r>
      <w:r w:rsidR="004800DC">
        <w:t xml:space="preserve"> months. </w:t>
      </w:r>
      <w:r w:rsidR="007825C7">
        <w:t xml:space="preserve">That’s an indication of a very tight market in favor of sellers. </w:t>
      </w:r>
    </w:p>
    <w:p w14:paraId="1B102C51" w14:textId="77777777" w:rsidR="001F06DD" w:rsidRDefault="001F06DD" w:rsidP="00F84C72"/>
    <w:p w14:paraId="31BB5A3C" w14:textId="7A87A22A" w:rsidR="00F740A8" w:rsidRDefault="00F740A8" w:rsidP="00F84C72">
      <w:r>
        <w:t>As a result</w:t>
      </w:r>
      <w:r w:rsidRPr="00F740A8">
        <w:t xml:space="preserve"> </w:t>
      </w:r>
      <w:r w:rsidRPr="00911585">
        <w:t xml:space="preserve">prices </w:t>
      </w:r>
      <w:r>
        <w:t>rose 7</w:t>
      </w:r>
      <w:r w:rsidRPr="00911585">
        <w:t>.</w:t>
      </w:r>
      <w:r>
        <w:t>9</w:t>
      </w:r>
      <w:r w:rsidRPr="00911585">
        <w:t xml:space="preserve">% in </w:t>
      </w:r>
      <w:r>
        <w:t>February</w:t>
      </w:r>
      <w:r w:rsidRPr="00911585">
        <w:t>, going from an average price of $3</w:t>
      </w:r>
      <w:r>
        <w:t>2</w:t>
      </w:r>
      <w:r w:rsidRPr="00911585">
        <w:t>3,0</w:t>
      </w:r>
      <w:r>
        <w:t>84</w:t>
      </w:r>
      <w:r w:rsidRPr="00911585">
        <w:t xml:space="preserve"> to $3</w:t>
      </w:r>
      <w:r>
        <w:t>4</w:t>
      </w:r>
      <w:r w:rsidRPr="00911585">
        <w:t>8,</w:t>
      </w:r>
      <w:r>
        <w:t>6</w:t>
      </w:r>
      <w:r w:rsidRPr="00911585">
        <w:t>5</w:t>
      </w:r>
      <w:r>
        <w:t>9</w:t>
      </w:r>
      <w:r w:rsidRPr="00911585">
        <w:t>.</w:t>
      </w:r>
    </w:p>
    <w:p w14:paraId="23EB3B35" w14:textId="7FF17F05" w:rsidR="00677607" w:rsidRDefault="00677607" w:rsidP="00F84C72">
      <w:r>
        <w:lastRenderedPageBreak/>
        <w:t>T</w:t>
      </w:r>
      <w:r w:rsidR="007D1D2B" w:rsidRPr="00E62C37">
        <w:t>here were 1</w:t>
      </w:r>
      <w:r w:rsidR="002D4641" w:rsidRPr="00E62C37">
        <w:t>4</w:t>
      </w:r>
      <w:r>
        <w:t>5</w:t>
      </w:r>
      <w:r w:rsidR="007D1D2B" w:rsidRPr="00E62C37">
        <w:t xml:space="preserve"> </w:t>
      </w:r>
      <w:r w:rsidR="007A5A12" w:rsidRPr="00E62C37">
        <w:t>n</w:t>
      </w:r>
      <w:r w:rsidR="00440264" w:rsidRPr="00E62C37">
        <w:t xml:space="preserve">ew </w:t>
      </w:r>
      <w:r w:rsidR="00F75F7E" w:rsidRPr="00E62C37">
        <w:t xml:space="preserve">home construction </w:t>
      </w:r>
      <w:r w:rsidR="007A5A12" w:rsidRPr="00E62C37">
        <w:t xml:space="preserve">permits </w:t>
      </w:r>
      <w:r w:rsidR="007D1D2B" w:rsidRPr="00E62C37">
        <w:t xml:space="preserve">taken out in </w:t>
      </w:r>
      <w:r w:rsidR="00785F83" w:rsidRPr="00E62C37">
        <w:t>the 4-county area</w:t>
      </w:r>
      <w:r>
        <w:t xml:space="preserve"> in January</w:t>
      </w:r>
      <w:r w:rsidR="00785F83" w:rsidRPr="00E62C37">
        <w:t xml:space="preserve">. A year ago there were </w:t>
      </w:r>
      <w:r>
        <w:t>98</w:t>
      </w:r>
      <w:r w:rsidR="00474ECB" w:rsidRPr="00E62C37">
        <w:t xml:space="preserve"> permits</w:t>
      </w:r>
      <w:r>
        <w:t>.</w:t>
      </w:r>
      <w:r w:rsidR="008D5219" w:rsidRPr="00E62C37">
        <w:rPr>
          <w:vertAlign w:val="superscript"/>
        </w:rPr>
        <w:t>1</w:t>
      </w:r>
      <w:r w:rsidR="00F75F7E" w:rsidRPr="00E62C37">
        <w:t xml:space="preserve"> </w:t>
      </w:r>
      <w:r>
        <w:t xml:space="preserve">That is a solid 48% increase and 38% ahead of a 12-month average </w:t>
      </w:r>
      <w:r w:rsidR="0080713D">
        <w:t>for</w:t>
      </w:r>
      <w:r>
        <w:t xml:space="preserve"> new starts</w:t>
      </w:r>
      <w:r w:rsidR="0080713D">
        <w:t>.</w:t>
      </w:r>
    </w:p>
    <w:p w14:paraId="664932B5" w14:textId="77777777" w:rsidR="00677607" w:rsidRDefault="00677607" w:rsidP="00F84C72"/>
    <w:p w14:paraId="604D68EF" w14:textId="21E9ABFF" w:rsidR="002D4641" w:rsidRDefault="0080713D" w:rsidP="00F84C72">
      <w:r>
        <w:t xml:space="preserve">However, to throw cold water on the numbers once again, new starts are </w:t>
      </w:r>
      <w:r w:rsidR="009A0B71" w:rsidRPr="00E62C37">
        <w:t>n</w:t>
      </w:r>
      <w:r w:rsidR="007D1D2B" w:rsidRPr="00E62C37">
        <w:t>owhere near the</w:t>
      </w:r>
      <w:r w:rsidR="00677607">
        <w:t xml:space="preserve"> number needed to reach</w:t>
      </w:r>
      <w:r w:rsidR="007D1D2B" w:rsidRPr="00E62C37">
        <w:t xml:space="preserve"> 4,000+ new </w:t>
      </w:r>
      <w:r w:rsidR="008D5219" w:rsidRPr="00E62C37">
        <w:t xml:space="preserve">construction </w:t>
      </w:r>
      <w:r w:rsidR="008F5538" w:rsidRPr="00E62C37">
        <w:t xml:space="preserve">units </w:t>
      </w:r>
      <w:r w:rsidR="00677607">
        <w:t>this year</w:t>
      </w:r>
      <w:r w:rsidR="008F5538" w:rsidRPr="00E62C37">
        <w:t xml:space="preserve">. New construction is </w:t>
      </w:r>
      <w:r w:rsidR="008D5219" w:rsidRPr="00E62C37">
        <w:t>in a</w:t>
      </w:r>
      <w:r w:rsidR="008F5538" w:rsidRPr="00E62C37">
        <w:t>n</w:t>
      </w:r>
      <w:r w:rsidR="008D5219" w:rsidRPr="00E62C37">
        <w:t xml:space="preserve"> </w:t>
      </w:r>
      <w:r w:rsidR="008F5538" w:rsidRPr="00E62C37">
        <w:t xml:space="preserve">era </w:t>
      </w:r>
      <w:r w:rsidR="008D5219" w:rsidRPr="00E62C37">
        <w:t xml:space="preserve">of low production </w:t>
      </w:r>
      <w:r w:rsidR="008F5538" w:rsidRPr="00E62C37">
        <w:t xml:space="preserve">beginning </w:t>
      </w:r>
      <w:r w:rsidR="002D4641" w:rsidRPr="00E62C37">
        <w:t xml:space="preserve">way back </w:t>
      </w:r>
      <w:r w:rsidR="008F5538" w:rsidRPr="00E62C37">
        <w:t xml:space="preserve">when </w:t>
      </w:r>
      <w:r w:rsidR="008D5219" w:rsidRPr="00E62C37">
        <w:t>the Great Recession</w:t>
      </w:r>
      <w:r w:rsidR="008F5538" w:rsidRPr="00E62C37">
        <w:t xml:space="preserve"> started</w:t>
      </w:r>
      <w:r w:rsidR="008D5219" w:rsidRPr="00E62C37">
        <w:t>.</w:t>
      </w:r>
      <w:r w:rsidR="007A5A12">
        <w:t xml:space="preserve"> </w:t>
      </w:r>
    </w:p>
    <w:p w14:paraId="11060544" w14:textId="77777777" w:rsidR="002D4641" w:rsidRDefault="002D4641" w:rsidP="00F84C72"/>
    <w:p w14:paraId="65626A26" w14:textId="510AB09E" w:rsidR="00474ECB" w:rsidRDefault="007D09D8" w:rsidP="00474ECB">
      <w:r>
        <w:t>It does not appear that the market will achieve any kind of balance to benefit buyers</w:t>
      </w:r>
      <w:r w:rsidR="008F5538">
        <w:t xml:space="preserve"> in the near future</w:t>
      </w:r>
      <w:r>
        <w:t xml:space="preserve">. </w:t>
      </w:r>
      <w:r w:rsidR="00474ECB">
        <w:t xml:space="preserve">To reach a balanced market (commonly understood to be </w:t>
      </w:r>
      <w:r w:rsidR="00474ECB" w:rsidRPr="00F84C72">
        <w:t>6 months of inventory</w:t>
      </w:r>
      <w:r w:rsidR="00474ECB">
        <w:t>)</w:t>
      </w:r>
      <w:r w:rsidR="00474ECB" w:rsidRPr="00F84C72">
        <w:t xml:space="preserve"> </w:t>
      </w:r>
      <w:r w:rsidR="00474ECB">
        <w:t xml:space="preserve">the four county area needed </w:t>
      </w:r>
      <w:r w:rsidR="00AE22A3">
        <w:t>5</w:t>
      </w:r>
      <w:r w:rsidR="00474ECB">
        <w:t>,</w:t>
      </w:r>
      <w:r w:rsidR="0080713D">
        <w:t>110</w:t>
      </w:r>
      <w:r w:rsidR="00474ECB" w:rsidRPr="00F84C72">
        <w:t xml:space="preserve"> </w:t>
      </w:r>
      <w:r w:rsidR="00474ECB">
        <w:t xml:space="preserve">additional </w:t>
      </w:r>
      <w:r w:rsidR="00474ECB" w:rsidRPr="00F84C72">
        <w:t>units</w:t>
      </w:r>
      <w:r w:rsidR="00474ECB">
        <w:t xml:space="preserve"> in </w:t>
      </w:r>
      <w:r w:rsidR="00E15A74">
        <w:t>February</w:t>
      </w:r>
      <w:r w:rsidR="00474ECB" w:rsidRPr="00F84C72">
        <w:t>.</w:t>
      </w:r>
      <w:r w:rsidR="009F140B">
        <w:t xml:space="preserve"> </w:t>
      </w:r>
    </w:p>
    <w:p w14:paraId="0B8F2D31" w14:textId="77777777" w:rsidR="00474ECB" w:rsidRDefault="00474ECB" w:rsidP="00474ECB"/>
    <w:p w14:paraId="4FA56405" w14:textId="77777777" w:rsidR="007D09D8" w:rsidRDefault="007D09D8" w:rsidP="007D09D8">
      <w:r w:rsidRPr="00F84C72">
        <w:t xml:space="preserve">The systemic problem with the market is the lack of new construction of single-family houses and condominiums, and over </w:t>
      </w:r>
      <w:r>
        <w:t xml:space="preserve">reliance on </w:t>
      </w:r>
      <w:r w:rsidRPr="00F84C72">
        <w:t>apartments</w:t>
      </w:r>
      <w:r>
        <w:t xml:space="preserve"> to satisfy demand</w:t>
      </w:r>
      <w:r w:rsidRPr="00F84C72">
        <w:t>. That bottleneck combined with the demographic surge of Millennial and GenZ buyers</w:t>
      </w:r>
      <w:r>
        <w:t xml:space="preserve"> and</w:t>
      </w:r>
      <w:r w:rsidRPr="00F84C72">
        <w:t xml:space="preserve"> </w:t>
      </w:r>
      <w:r>
        <w:t xml:space="preserve">reasonable </w:t>
      </w:r>
      <w:r w:rsidRPr="00F84C72">
        <w:t>interest rates</w:t>
      </w:r>
      <w:r>
        <w:t xml:space="preserve"> </w:t>
      </w:r>
      <w:r w:rsidRPr="00F84C72">
        <w:t xml:space="preserve">have all contributed to a historically tight market. </w:t>
      </w:r>
    </w:p>
    <w:p w14:paraId="12577C99" w14:textId="77777777" w:rsidR="00232416" w:rsidRDefault="00232416" w:rsidP="00232416"/>
    <w:p w14:paraId="40937DDE" w14:textId="6EA2D4DB" w:rsidR="009F1F68" w:rsidRDefault="003878AF" w:rsidP="00521E94">
      <w:bookmarkStart w:id="1" w:name="_Hlk150503879"/>
      <w:r>
        <w:t xml:space="preserve">The imminent danger for the </w:t>
      </w:r>
      <w:r w:rsidR="005D0C58" w:rsidRPr="00F84C72">
        <w:t>region</w:t>
      </w:r>
      <w:r w:rsidR="006F6AA8">
        <w:t>,</w:t>
      </w:r>
      <w:r w:rsidR="005D0C58" w:rsidRPr="00F84C72">
        <w:t xml:space="preserve"> </w:t>
      </w:r>
      <w:r>
        <w:t xml:space="preserve">if it </w:t>
      </w:r>
      <w:r w:rsidR="005D0C58" w:rsidRPr="00F84C72">
        <w:t xml:space="preserve">does not create additional supply in the form of more single-family and </w:t>
      </w:r>
      <w:r w:rsidR="00567908" w:rsidRPr="00F84C72">
        <w:t>condominium</w:t>
      </w:r>
      <w:r w:rsidR="005D0C58" w:rsidRPr="00F84C72">
        <w:t xml:space="preserve"> units, </w:t>
      </w:r>
      <w:r>
        <w:t xml:space="preserve">is that </w:t>
      </w:r>
      <w:r w:rsidR="005D0C58" w:rsidRPr="00F84C72">
        <w:t xml:space="preserve">thousands of would-be homeowners will be forced to </w:t>
      </w:r>
      <w:r w:rsidR="00AD62F0">
        <w:t xml:space="preserve">continue to </w:t>
      </w:r>
      <w:r w:rsidR="005D0C58" w:rsidRPr="00F84C72">
        <w:t xml:space="preserve">rent, foregoing the opportunity to build wealth </w:t>
      </w:r>
      <w:bookmarkEnd w:id="1"/>
      <w:r w:rsidR="005D0C58" w:rsidRPr="00F84C72">
        <w:t>through a home’s equity and all of the other benefits of homeownership.</w:t>
      </w:r>
      <w:r w:rsidR="00144B86" w:rsidRPr="00F84C72">
        <w:t xml:space="preserve"> </w:t>
      </w:r>
      <w:r>
        <w:t>Rather</w:t>
      </w:r>
      <w:r w:rsidR="0080713D">
        <w:t>,</w:t>
      </w:r>
      <w:r>
        <w:t xml:space="preserve"> they have been, and will continue to, pay thousands of dollars a year in rent with no ability to save for a down payment – pushing off their opportunity to achieve the American Dream even further.</w:t>
      </w:r>
    </w:p>
    <w:p w14:paraId="2D031CBD" w14:textId="77777777" w:rsidR="009F1F68" w:rsidRDefault="009F1F68" w:rsidP="00521E94"/>
    <w:p w14:paraId="1408FD44" w14:textId="230FBB1E" w:rsidR="00785F83" w:rsidRDefault="00785F83" w:rsidP="00521E94">
      <w:r w:rsidRPr="00785F83">
        <w:rPr>
          <w:vertAlign w:val="superscript"/>
        </w:rPr>
        <w:t>1</w:t>
      </w:r>
      <w:r>
        <w:t xml:space="preserve"> </w:t>
      </w:r>
      <w:r w:rsidR="007A5A12" w:rsidRPr="00F75F7E">
        <w:rPr>
          <w:sz w:val="18"/>
          <w:szCs w:val="18"/>
        </w:rPr>
        <w:t>U</w:t>
      </w:r>
      <w:r w:rsidRPr="00F75F7E">
        <w:rPr>
          <w:sz w:val="18"/>
          <w:szCs w:val="18"/>
        </w:rPr>
        <w:t>nits of new</w:t>
      </w:r>
      <w:r w:rsidR="007A5A12" w:rsidRPr="00F75F7E">
        <w:rPr>
          <w:sz w:val="18"/>
          <w:szCs w:val="18"/>
        </w:rPr>
        <w:t xml:space="preserve"> </w:t>
      </w:r>
      <w:r w:rsidRPr="00F75F7E">
        <w:rPr>
          <w:sz w:val="18"/>
          <w:szCs w:val="18"/>
        </w:rPr>
        <w:t>construct</w:t>
      </w:r>
      <w:r w:rsidR="007A5A12" w:rsidRPr="00F75F7E">
        <w:rPr>
          <w:sz w:val="18"/>
          <w:szCs w:val="18"/>
        </w:rPr>
        <w:t>ion permits</w:t>
      </w:r>
      <w:r w:rsidRPr="00F75F7E">
        <w:rPr>
          <w:sz w:val="18"/>
          <w:szCs w:val="18"/>
        </w:rPr>
        <w:t xml:space="preserve"> in the 4-county are according to </w:t>
      </w:r>
      <w:hyperlink r:id="rId10" w:history="1">
        <w:r w:rsidRPr="00F75F7E">
          <w:rPr>
            <w:rStyle w:val="Hyperlink"/>
            <w:sz w:val="18"/>
            <w:szCs w:val="18"/>
          </w:rPr>
          <w:t>Census Bureau's Building Permits Survey</w:t>
        </w:r>
      </w:hyperlink>
      <w:r>
        <w:t xml:space="preserve"> </w:t>
      </w:r>
    </w:p>
    <w:p w14:paraId="36FF7145" w14:textId="77777777" w:rsidR="0046205A" w:rsidRPr="00985B7F" w:rsidRDefault="0046205A" w:rsidP="00985B7F">
      <w:pPr>
        <w:pStyle w:val="ParagraphIntro"/>
      </w:pPr>
      <w:r w:rsidRPr="00985B7F">
        <w:t>Where to go</w:t>
      </w:r>
    </w:p>
    <w:p w14:paraId="00A934B2" w14:textId="695EB6FD" w:rsidR="0046205A" w:rsidRPr="00627017" w:rsidRDefault="0046205A" w:rsidP="00985B7F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 w:rsidR="00050D04">
        <w:t>for</w:t>
      </w:r>
      <w:r w:rsidRPr="00627017">
        <w:t xml:space="preserve"> their home.</w:t>
      </w:r>
    </w:p>
    <w:p w14:paraId="76573A52" w14:textId="77777777" w:rsidR="0046205A" w:rsidRPr="00627017" w:rsidRDefault="0046205A" w:rsidP="00985B7F"/>
    <w:p w14:paraId="4A7B7D13" w14:textId="09765122" w:rsidR="0046205A" w:rsidRDefault="0046205A" w:rsidP="00985B7F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 w:rsidR="00310CFF"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</w:t>
      </w:r>
      <w:r w:rsidR="00567908" w:rsidRPr="00627017">
        <w:t xml:space="preserve">. </w:t>
      </w:r>
      <w:r w:rsidRPr="00627017">
        <w:t>Data for this report was collected by Metro MLS, Inc. a wholly owned subsidiary of the GMAR.</w:t>
      </w:r>
      <w:r w:rsidR="00050D04">
        <w:t xml:space="preserve"> </w:t>
      </w:r>
    </w:p>
    <w:p w14:paraId="30341484" w14:textId="77777777" w:rsidR="00436BD9" w:rsidRPr="00627017" w:rsidRDefault="00436BD9" w:rsidP="00985B7F"/>
    <w:p w14:paraId="30D153CE" w14:textId="6899633C" w:rsidR="0046205A" w:rsidRPr="00627017" w:rsidRDefault="0046205A" w:rsidP="00985B7F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 w:rsidR="00890BA1"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 w:rsidR="00890BA1">
        <w:t xml:space="preserve"> of the month,</w:t>
      </w:r>
      <w:r w:rsidRPr="00627017">
        <w:t xml:space="preserve"> but an agent does not record the sale until </w:t>
      </w:r>
      <w:r w:rsidR="00890BA1"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 w:rsidR="00890BA1">
        <w:t xml:space="preserve"> of the next month,</w:t>
      </w:r>
      <w:r w:rsidRPr="00627017">
        <w:t xml:space="preserve"> that sale would not be included in the sales figures</w:t>
      </w:r>
      <w:r w:rsidR="00890BA1"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6988CD17" w14:textId="77777777" w:rsidR="0046205A" w:rsidRPr="00627017" w:rsidRDefault="0046205A" w:rsidP="00985B7F">
      <w:pPr>
        <w:rPr>
          <w:sz w:val="20"/>
          <w:szCs w:val="20"/>
        </w:rPr>
      </w:pPr>
    </w:p>
    <w:p w14:paraId="4030E198" w14:textId="6A780018" w:rsidR="0046205A" w:rsidRPr="00627017" w:rsidRDefault="0046205A" w:rsidP="00985B7F">
      <w:pPr>
        <w:pStyle w:val="Noted"/>
      </w:pPr>
      <w:r w:rsidRPr="00627017">
        <w:t xml:space="preserve">** All references to the “metropolitan” area denotes the </w:t>
      </w:r>
      <w:r w:rsidR="00890BA1">
        <w:t>four</w:t>
      </w:r>
      <w:r w:rsidRPr="00627017">
        <w:t xml:space="preserve"> counties of Milwaukee, Waukesha, Ozaukee, and Washington Counties. The “region” or “Southeast Wisconsin” refers to the </w:t>
      </w:r>
      <w:r w:rsidR="00890BA1">
        <w:t>four</w:t>
      </w:r>
      <w:r w:rsidRPr="00627017">
        <w:t xml:space="preserve"> metropolitan counties (Milwaukee, Waukesha, Ozaukee, and Washington), plus the </w:t>
      </w:r>
      <w:r w:rsidR="00890BA1">
        <w:t xml:space="preserve">three </w:t>
      </w:r>
      <w:r w:rsidRPr="00627017">
        <w:t>counties to the south, Racine, Kenosha, and Walworth Counties.</w:t>
      </w:r>
    </w:p>
    <w:p w14:paraId="66DB435E" w14:textId="57EAFE14" w:rsidR="0046205A" w:rsidRDefault="0046205A" w:rsidP="0046205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04B449FD" w14:textId="0C2C6D3C" w:rsidR="0046205A" w:rsidRPr="00627017" w:rsidRDefault="0046205A" w:rsidP="0046205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76F2DDE1" w:rsidR="007A13E7" w:rsidRDefault="007A13E7">
      <w:pPr>
        <w:spacing w:after="160" w:line="259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FA9B6E" w14:textId="613585B9" w:rsidR="00722A43" w:rsidRDefault="0080713D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D5804B7" wp14:editId="14B9B9A6">
            <wp:extent cx="5486400" cy="3200400"/>
            <wp:effectExtent l="0" t="0" r="0" b="0"/>
            <wp:docPr id="15856813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49484269" w:rsidR="00FE2AA3" w:rsidRDefault="00752249" w:rsidP="004E6698">
      <w:pPr>
        <w:spacing w:after="120" w:line="300" w:lineRule="auto"/>
      </w:pPr>
      <w:r w:rsidRPr="00DD53FD">
        <w:t xml:space="preserve">Seasonally </w:t>
      </w:r>
      <w:r w:rsidR="0060287B" w:rsidRPr="00DD53FD">
        <w:t xml:space="preserve">adjusted </w:t>
      </w:r>
      <w:r w:rsidR="0060287B" w:rsidRPr="00DD53FD">
        <w:rPr>
          <w:b/>
          <w:bCs/>
        </w:rPr>
        <w:t>i</w:t>
      </w:r>
      <w:r w:rsidR="0060287B" w:rsidRPr="00DD53FD">
        <w:rPr>
          <w:rStyle w:val="NormalCalloutText"/>
        </w:rPr>
        <w:t>nventory</w:t>
      </w:r>
      <w:r w:rsidR="0060287B" w:rsidRPr="00DD53FD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E15A74">
        <w:rPr>
          <w:rStyle w:val="NormalCalloutText"/>
        </w:rPr>
        <w:t>February</w:t>
      </w:r>
      <w:r w:rsidR="0060287B" w:rsidRPr="00F84C72">
        <w:rPr>
          <w:rStyle w:val="NormalCalloutText"/>
        </w:rPr>
        <w:t xml:space="preserve"> was </w:t>
      </w:r>
      <w:r w:rsidR="001F06DD">
        <w:rPr>
          <w:rStyle w:val="NormalCalloutText"/>
        </w:rPr>
        <w:t>2</w:t>
      </w:r>
      <w:r w:rsidR="007C3470" w:rsidRPr="00F84C72">
        <w:rPr>
          <w:rStyle w:val="NormalCalloutText"/>
        </w:rPr>
        <w:t>.</w:t>
      </w:r>
      <w:r w:rsidR="0080713D">
        <w:rPr>
          <w:rStyle w:val="NormalCalloutText"/>
        </w:rPr>
        <w:t>2</w:t>
      </w:r>
      <w:r w:rsidR="001F06DD">
        <w:rPr>
          <w:rStyle w:val="NormalCalloutText"/>
        </w:rPr>
        <w:t xml:space="preserve"> </w:t>
      </w:r>
      <w:r w:rsidR="0060287B" w:rsidRPr="00F84C72">
        <w:rPr>
          <w:rStyle w:val="NormalCalloutText"/>
        </w:rPr>
        <w:t>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7A13E7">
        <w:rPr>
          <w:b/>
          <w:bCs/>
          <w:color w:val="203058"/>
        </w:rPr>
        <w:t>2</w:t>
      </w:r>
      <w:r w:rsidR="00F51A3F">
        <w:rPr>
          <w:b/>
          <w:bCs/>
          <w:color w:val="203058"/>
        </w:rPr>
        <w:t>,</w:t>
      </w:r>
      <w:r w:rsidR="0080713D">
        <w:rPr>
          <w:b/>
          <w:bCs/>
          <w:color w:val="203058"/>
        </w:rPr>
        <w:t>484</w:t>
      </w:r>
      <w:r w:rsidR="00FE2AA3" w:rsidRPr="00F84C72">
        <w:rPr>
          <w:rStyle w:val="NormalCalloutText"/>
        </w:rPr>
        <w:t xml:space="preserve"> listings, which equals </w:t>
      </w:r>
      <w:r w:rsidR="0080713D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80713D">
        <w:rPr>
          <w:rStyle w:val="NormalCalloutText"/>
        </w:rPr>
        <w:t>0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72D9CE1C" w:rsidR="00FE2AA3" w:rsidRDefault="0080713D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28C4F57E" wp14:editId="270ABD37">
            <wp:extent cx="5486400" cy="2971800"/>
            <wp:effectExtent l="0" t="0" r="0" b="0"/>
            <wp:docPr id="12885393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56B3FD0D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87289E">
        <w:t xml:space="preserve">With </w:t>
      </w:r>
      <w:r w:rsidR="007A13E7">
        <w:t>3</w:t>
      </w:r>
      <w:r w:rsidRPr="0087289E">
        <w:t>,</w:t>
      </w:r>
      <w:r w:rsidR="00DD53FD">
        <w:t>0</w:t>
      </w:r>
      <w:r w:rsidR="0080713D">
        <w:t>1</w:t>
      </w:r>
      <w:r w:rsidR="00DD53FD">
        <w:t>4</w:t>
      </w:r>
      <w:r w:rsidRPr="0087289E">
        <w:t xml:space="preserve"> current listings providing </w:t>
      </w:r>
      <w:r w:rsidR="007A13E7">
        <w:t>2</w:t>
      </w:r>
      <w:r w:rsidR="006F6AA8">
        <w:t>.</w:t>
      </w:r>
      <w:r w:rsidR="0080713D">
        <w:t>2</w:t>
      </w:r>
      <w:r w:rsidRPr="0087289E">
        <w:t xml:space="preserve"> months of inventory</w:t>
      </w:r>
      <w:r w:rsidRPr="00F84C72">
        <w:t xml:space="preserve">, </w:t>
      </w:r>
      <w:r w:rsidRPr="00F84C72">
        <w:rPr>
          <w:rStyle w:val="NormalCalloutText"/>
        </w:rPr>
        <w:t xml:space="preserve">the market would need an additional </w:t>
      </w:r>
      <w:r w:rsidR="00DD53FD">
        <w:rPr>
          <w:rStyle w:val="NormalCalloutText"/>
        </w:rPr>
        <w:t>5</w:t>
      </w:r>
      <w:r w:rsidR="006F6AA8">
        <w:rPr>
          <w:rStyle w:val="NormalCalloutText"/>
        </w:rPr>
        <w:t>,</w:t>
      </w:r>
      <w:r w:rsidR="0080713D">
        <w:rPr>
          <w:rStyle w:val="NormalCalloutText"/>
        </w:rPr>
        <w:t>11</w:t>
      </w:r>
      <w:r w:rsidR="00DD53FD">
        <w:rPr>
          <w:rStyle w:val="NormalCalloutText"/>
        </w:rPr>
        <w:t>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59FB195D" w:rsidR="00A5422D" w:rsidRDefault="00A5422D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A5422D" w:rsidSect="00A542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D48F" w14:textId="77777777" w:rsidR="00DA1B61" w:rsidRDefault="00DA1B61" w:rsidP="003B327A">
      <w:r>
        <w:separator/>
      </w:r>
    </w:p>
  </w:endnote>
  <w:endnote w:type="continuationSeparator" w:id="0">
    <w:p w14:paraId="4E612465" w14:textId="77777777" w:rsidR="00DA1B61" w:rsidRDefault="00DA1B61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C84D" w14:textId="77777777" w:rsidR="00DA1B61" w:rsidRDefault="00DA1B61" w:rsidP="003B327A">
      <w:r>
        <w:separator/>
      </w:r>
    </w:p>
  </w:footnote>
  <w:footnote w:type="continuationSeparator" w:id="0">
    <w:p w14:paraId="75348F42" w14:textId="77777777" w:rsidR="00DA1B61" w:rsidRDefault="00DA1B61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77C46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9739A"/>
    <w:rsid w:val="000A01E3"/>
    <w:rsid w:val="000A2CE6"/>
    <w:rsid w:val="000A3217"/>
    <w:rsid w:val="000A4141"/>
    <w:rsid w:val="000A4FCB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44B86"/>
    <w:rsid w:val="00146897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62A3"/>
    <w:rsid w:val="001D27D9"/>
    <w:rsid w:val="001D3B48"/>
    <w:rsid w:val="001D7B23"/>
    <w:rsid w:val="001F06DD"/>
    <w:rsid w:val="001F0911"/>
    <w:rsid w:val="001F245E"/>
    <w:rsid w:val="001F5CBD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A41E2"/>
    <w:rsid w:val="002A6CF8"/>
    <w:rsid w:val="002A78ED"/>
    <w:rsid w:val="002B1788"/>
    <w:rsid w:val="002B5840"/>
    <w:rsid w:val="002C0AE4"/>
    <w:rsid w:val="002C12CA"/>
    <w:rsid w:val="002C412A"/>
    <w:rsid w:val="002C639C"/>
    <w:rsid w:val="002D0230"/>
    <w:rsid w:val="002D4641"/>
    <w:rsid w:val="002E3801"/>
    <w:rsid w:val="002E391A"/>
    <w:rsid w:val="002E40D8"/>
    <w:rsid w:val="002F03D7"/>
    <w:rsid w:val="002F2B80"/>
    <w:rsid w:val="002F59D0"/>
    <w:rsid w:val="003014F6"/>
    <w:rsid w:val="00301B28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16DB"/>
    <w:rsid w:val="00323325"/>
    <w:rsid w:val="00325528"/>
    <w:rsid w:val="00326B56"/>
    <w:rsid w:val="0033059A"/>
    <w:rsid w:val="00331633"/>
    <w:rsid w:val="0033168B"/>
    <w:rsid w:val="003326F3"/>
    <w:rsid w:val="003343A9"/>
    <w:rsid w:val="00343F5C"/>
    <w:rsid w:val="00347CC9"/>
    <w:rsid w:val="00350E1C"/>
    <w:rsid w:val="00352251"/>
    <w:rsid w:val="00353725"/>
    <w:rsid w:val="00354473"/>
    <w:rsid w:val="00360B57"/>
    <w:rsid w:val="003639E9"/>
    <w:rsid w:val="00372264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898"/>
    <w:rsid w:val="00407D21"/>
    <w:rsid w:val="00416329"/>
    <w:rsid w:val="00416DF0"/>
    <w:rsid w:val="004176E4"/>
    <w:rsid w:val="004217B7"/>
    <w:rsid w:val="00424608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00DC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22F14"/>
    <w:rsid w:val="005335BE"/>
    <w:rsid w:val="00534DD3"/>
    <w:rsid w:val="0054105F"/>
    <w:rsid w:val="0054195F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C1A84"/>
    <w:rsid w:val="005C25E4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12A0E"/>
    <w:rsid w:val="006200A6"/>
    <w:rsid w:val="006213F9"/>
    <w:rsid w:val="00623E52"/>
    <w:rsid w:val="006247E9"/>
    <w:rsid w:val="00627017"/>
    <w:rsid w:val="00627F72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77607"/>
    <w:rsid w:val="00681DC8"/>
    <w:rsid w:val="006836E9"/>
    <w:rsid w:val="00690E70"/>
    <w:rsid w:val="00694286"/>
    <w:rsid w:val="006A0D96"/>
    <w:rsid w:val="006A4D33"/>
    <w:rsid w:val="006B0D8F"/>
    <w:rsid w:val="006C0A4A"/>
    <w:rsid w:val="006D06AC"/>
    <w:rsid w:val="006D13A0"/>
    <w:rsid w:val="006D176A"/>
    <w:rsid w:val="006D195E"/>
    <w:rsid w:val="006D22A4"/>
    <w:rsid w:val="006D6799"/>
    <w:rsid w:val="006E0511"/>
    <w:rsid w:val="006E0DB1"/>
    <w:rsid w:val="006E60DF"/>
    <w:rsid w:val="006F6AA8"/>
    <w:rsid w:val="006F7E40"/>
    <w:rsid w:val="0070562B"/>
    <w:rsid w:val="00716F12"/>
    <w:rsid w:val="00717D51"/>
    <w:rsid w:val="007214B3"/>
    <w:rsid w:val="00721F71"/>
    <w:rsid w:val="00722A43"/>
    <w:rsid w:val="00726E6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361B"/>
    <w:rsid w:val="00777721"/>
    <w:rsid w:val="007825C7"/>
    <w:rsid w:val="0078467D"/>
    <w:rsid w:val="007848D3"/>
    <w:rsid w:val="00785F83"/>
    <w:rsid w:val="007900CB"/>
    <w:rsid w:val="0079199D"/>
    <w:rsid w:val="007928FE"/>
    <w:rsid w:val="0079305F"/>
    <w:rsid w:val="007A13E7"/>
    <w:rsid w:val="007A5A12"/>
    <w:rsid w:val="007B0CCD"/>
    <w:rsid w:val="007B1281"/>
    <w:rsid w:val="007B4513"/>
    <w:rsid w:val="007B6D3B"/>
    <w:rsid w:val="007C00E5"/>
    <w:rsid w:val="007C3470"/>
    <w:rsid w:val="007C3602"/>
    <w:rsid w:val="007C3727"/>
    <w:rsid w:val="007C40CE"/>
    <w:rsid w:val="007C4327"/>
    <w:rsid w:val="007D09D8"/>
    <w:rsid w:val="007D1D2B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0713D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0A54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87F9F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0813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8F5538"/>
    <w:rsid w:val="00900DBC"/>
    <w:rsid w:val="00911585"/>
    <w:rsid w:val="00912FB8"/>
    <w:rsid w:val="00913F14"/>
    <w:rsid w:val="0091767C"/>
    <w:rsid w:val="0092034A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2B24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0AF"/>
    <w:rsid w:val="009A03F9"/>
    <w:rsid w:val="009A0B71"/>
    <w:rsid w:val="009A3885"/>
    <w:rsid w:val="009A4FA7"/>
    <w:rsid w:val="009A52FF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40B"/>
    <w:rsid w:val="009F1F68"/>
    <w:rsid w:val="009F21C4"/>
    <w:rsid w:val="00A017CA"/>
    <w:rsid w:val="00A0192A"/>
    <w:rsid w:val="00A07D27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4081"/>
    <w:rsid w:val="00A96CA0"/>
    <w:rsid w:val="00AA0E2E"/>
    <w:rsid w:val="00AA16AC"/>
    <w:rsid w:val="00AB0545"/>
    <w:rsid w:val="00AB1D2A"/>
    <w:rsid w:val="00AB30DB"/>
    <w:rsid w:val="00AC3065"/>
    <w:rsid w:val="00AC6A57"/>
    <w:rsid w:val="00AD04AA"/>
    <w:rsid w:val="00AD1A34"/>
    <w:rsid w:val="00AD4C46"/>
    <w:rsid w:val="00AD62F0"/>
    <w:rsid w:val="00AD642D"/>
    <w:rsid w:val="00AE1A13"/>
    <w:rsid w:val="00AE22A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57FF6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1205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334B0"/>
    <w:rsid w:val="00C34FFF"/>
    <w:rsid w:val="00C407A2"/>
    <w:rsid w:val="00C41C9C"/>
    <w:rsid w:val="00C46012"/>
    <w:rsid w:val="00C47C42"/>
    <w:rsid w:val="00C5567F"/>
    <w:rsid w:val="00C60C7C"/>
    <w:rsid w:val="00C63ADE"/>
    <w:rsid w:val="00C63D82"/>
    <w:rsid w:val="00C73AAD"/>
    <w:rsid w:val="00C746BD"/>
    <w:rsid w:val="00C76AED"/>
    <w:rsid w:val="00C77E4B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1B61"/>
    <w:rsid w:val="00DA2234"/>
    <w:rsid w:val="00DA2DEC"/>
    <w:rsid w:val="00DA467F"/>
    <w:rsid w:val="00DB0943"/>
    <w:rsid w:val="00DB1492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D53FD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15A74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578C4"/>
    <w:rsid w:val="00E62C37"/>
    <w:rsid w:val="00E6481D"/>
    <w:rsid w:val="00E64AEC"/>
    <w:rsid w:val="00E72019"/>
    <w:rsid w:val="00E72902"/>
    <w:rsid w:val="00E739D4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09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138C"/>
    <w:rsid w:val="00F41BD7"/>
    <w:rsid w:val="00F41EBA"/>
    <w:rsid w:val="00F42EC7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2911"/>
    <w:rsid w:val="00F73353"/>
    <w:rsid w:val="00F740A8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6948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2853E5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cds.huduser.gov/permi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1808</c:v>
                </c:pt>
                <c:pt idx="1">
                  <c:v>1819</c:v>
                </c:pt>
                <c:pt idx="2">
                  <c:v>1918</c:v>
                </c:pt>
                <c:pt idx="3">
                  <c:v>2277</c:v>
                </c:pt>
                <c:pt idx="4">
                  <c:v>2295</c:v>
                </c:pt>
                <c:pt idx="5">
                  <c:v>2762</c:v>
                </c:pt>
                <c:pt idx="6">
                  <c:v>2816</c:v>
                </c:pt>
                <c:pt idx="7">
                  <c:v>3054</c:v>
                </c:pt>
                <c:pt idx="8">
                  <c:v>2792</c:v>
                </c:pt>
                <c:pt idx="9">
                  <c:v>2275</c:v>
                </c:pt>
                <c:pt idx="10">
                  <c:v>2119</c:v>
                </c:pt>
                <c:pt idx="11">
                  <c:v>1833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A-48D6-966A-BE4F7A50239D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1203</c:v>
                </c:pt>
                <c:pt idx="1">
                  <c:v>1427</c:v>
                </c:pt>
                <c:pt idx="2">
                  <c:v>1557</c:v>
                </c:pt>
                <c:pt idx="3">
                  <c:v>1537</c:v>
                </c:pt>
                <c:pt idx="4">
                  <c:v>1519</c:v>
                </c:pt>
                <c:pt idx="5">
                  <c:v>1421</c:v>
                </c:pt>
                <c:pt idx="6">
                  <c:v>1424</c:v>
                </c:pt>
                <c:pt idx="7">
                  <c:v>1178</c:v>
                </c:pt>
                <c:pt idx="8">
                  <c:v>971</c:v>
                </c:pt>
                <c:pt idx="9">
                  <c:v>804</c:v>
                </c:pt>
                <c:pt idx="10">
                  <c:v>965</c:v>
                </c:pt>
                <c:pt idx="11">
                  <c:v>1181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EA-48D6-966A-BE4F7A502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1.9</c:v>
                </c:pt>
                <c:pt idx="1">
                  <c:v>2.1</c:v>
                </c:pt>
                <c:pt idx="2">
                  <c:v>2.2999999999999998</c:v>
                </c:pt>
                <c:pt idx="3">
                  <c:v>2.6</c:v>
                </c:pt>
                <c:pt idx="4">
                  <c:v>2.6</c:v>
                </c:pt>
                <c:pt idx="5">
                  <c:v>2.9</c:v>
                </c:pt>
                <c:pt idx="6">
                  <c:v>3.1</c:v>
                </c:pt>
                <c:pt idx="7">
                  <c:v>3.1</c:v>
                </c:pt>
                <c:pt idx="8">
                  <c:v>2.8</c:v>
                </c:pt>
                <c:pt idx="9">
                  <c:v>2.2999999999999998</c:v>
                </c:pt>
                <c:pt idx="10">
                  <c:v>2.2999999999999998</c:v>
                </c:pt>
                <c:pt idx="11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EA-48D6-966A-BE4F7A50239D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0.7</c:v>
                </c:pt>
                <c:pt idx="1">
                  <c:v>0.7</c:v>
                </c:pt>
                <c:pt idx="2">
                  <c:v>0.8</c:v>
                </c:pt>
                <c:pt idx="3">
                  <c:v>1</c:v>
                </c:pt>
                <c:pt idx="4">
                  <c:v>1.1000000000000001</c:v>
                </c:pt>
                <c:pt idx="5">
                  <c:v>1.4</c:v>
                </c:pt>
                <c:pt idx="6">
                  <c:v>1.4</c:v>
                </c:pt>
                <c:pt idx="7">
                  <c:v>1.6</c:v>
                </c:pt>
                <c:pt idx="8">
                  <c:v>1.4</c:v>
                </c:pt>
                <c:pt idx="9">
                  <c:v>0.8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3EA-48D6-966A-BE4F7A502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Data'!$P$147:$P$158</c:f>
              <c:strCache>
                <c:ptCount val="12"/>
                <c:pt idx="0">
                  <c:v>Mar</c:v>
                </c:pt>
                <c:pt idx="1">
                  <c:v>Apr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Data'!$Q$147:$Q$158</c:f>
              <c:numCache>
                <c:formatCode>_(* #,##0_);_(* \(#,##0\);_(* "-"??_);_(@_)</c:formatCode>
                <c:ptCount val="12"/>
                <c:pt idx="0">
                  <c:v>3011</c:v>
                </c:pt>
                <c:pt idx="1">
                  <c:v>3246</c:v>
                </c:pt>
                <c:pt idx="2">
                  <c:v>3475</c:v>
                </c:pt>
                <c:pt idx="3">
                  <c:v>3814</c:v>
                </c:pt>
                <c:pt idx="4">
                  <c:v>3814</c:v>
                </c:pt>
                <c:pt idx="5">
                  <c:v>4183</c:v>
                </c:pt>
                <c:pt idx="6">
                  <c:v>4240</c:v>
                </c:pt>
                <c:pt idx="7">
                  <c:v>4232</c:v>
                </c:pt>
                <c:pt idx="8">
                  <c:v>3763</c:v>
                </c:pt>
                <c:pt idx="9">
                  <c:v>3079</c:v>
                </c:pt>
                <c:pt idx="10">
                  <c:v>3084</c:v>
                </c:pt>
                <c:pt idx="11">
                  <c:v>3014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A5-4374-8E07-8C31C2D1061C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Data'!$P$147:$P$158</c:f>
              <c:strCache>
                <c:ptCount val="12"/>
                <c:pt idx="0">
                  <c:v>Mar</c:v>
                </c:pt>
                <c:pt idx="1">
                  <c:v>Apr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Data'!$T$147:$T$158</c:f>
              <c:numCache>
                <c:formatCode>_(* #,##0_);_(* \(#,##0\);_(* "-"??_);_(@_)</c:formatCode>
                <c:ptCount val="12"/>
                <c:pt idx="0">
                  <c:v>6630</c:v>
                </c:pt>
                <c:pt idx="1">
                  <c:v>6150</c:v>
                </c:pt>
                <c:pt idx="2">
                  <c:v>5700</c:v>
                </c:pt>
                <c:pt idx="3">
                  <c:v>5150</c:v>
                </c:pt>
                <c:pt idx="4">
                  <c:v>4900</c:v>
                </c:pt>
                <c:pt idx="5">
                  <c:v>4340</c:v>
                </c:pt>
                <c:pt idx="6">
                  <c:v>4090</c:v>
                </c:pt>
                <c:pt idx="7">
                  <c:v>3925</c:v>
                </c:pt>
                <c:pt idx="8">
                  <c:v>4425</c:v>
                </c:pt>
                <c:pt idx="9">
                  <c:v>5100</c:v>
                </c:pt>
                <c:pt idx="10">
                  <c:v>5025</c:v>
                </c:pt>
                <c:pt idx="11">
                  <c:v>5110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A5-4374-8E07-8C31C2D10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5</cp:revision>
  <cp:lastPrinted>2024-03-12T17:35:00Z</cp:lastPrinted>
  <dcterms:created xsi:type="dcterms:W3CDTF">2024-03-12T15:18:00Z</dcterms:created>
  <dcterms:modified xsi:type="dcterms:W3CDTF">2024-03-12T17:58:00Z</dcterms:modified>
</cp:coreProperties>
</file>