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ailOriginal"/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76559582" w:rsidR="00AD4C46" w:rsidRPr="000478F6" w:rsidRDefault="004C5B6B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June</w:t>
                            </w:r>
                            <w:r w:rsidR="009230D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76559582" w:rsidR="00AD4C46" w:rsidRPr="000478F6" w:rsidRDefault="004C5B6B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June</w:t>
                      </w:r>
                      <w:r w:rsidR="009230D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D1395A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C73042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53D7F8C4" w:rsidR="00127EF0" w:rsidRPr="00AD4C46" w:rsidRDefault="004C5B6B" w:rsidP="00AD4C46">
      <w:pPr>
        <w:pStyle w:val="Heading1"/>
      </w:pPr>
      <w:r>
        <w:t>May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254EA2">
        <w:t>Up</w:t>
      </w:r>
      <w:r w:rsidR="00681DC8" w:rsidRPr="00AD4C46">
        <w:t xml:space="preserve"> </w:t>
      </w:r>
      <w:r>
        <w:t>9</w:t>
      </w:r>
      <w:r w:rsidR="00C24714">
        <w:t>.</w:t>
      </w:r>
      <w:r>
        <w:t>0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29AB6E06" w:rsidR="00E302C4" w:rsidRPr="005E04F9" w:rsidRDefault="00C547F1" w:rsidP="00B20739">
            <w:pPr>
              <w:pStyle w:val="ListParagraph"/>
              <w:ind w:left="510"/>
              <w:rPr>
                <w:sz w:val="26"/>
                <w:szCs w:val="26"/>
              </w:rPr>
            </w:pPr>
            <w:r w:rsidRPr="005E04F9">
              <w:rPr>
                <w:sz w:val="26"/>
                <w:szCs w:val="26"/>
              </w:rPr>
              <w:t xml:space="preserve">Sales </w:t>
            </w:r>
            <w:r w:rsidR="00254EA2" w:rsidRPr="005E04F9">
              <w:rPr>
                <w:sz w:val="26"/>
                <w:szCs w:val="26"/>
              </w:rPr>
              <w:t xml:space="preserve">Up for </w:t>
            </w:r>
            <w:r w:rsidR="004C5B6B" w:rsidRPr="005E04F9">
              <w:rPr>
                <w:sz w:val="26"/>
                <w:szCs w:val="26"/>
              </w:rPr>
              <w:t>5</w:t>
            </w:r>
            <w:r w:rsidR="00715A30" w:rsidRPr="005E04F9">
              <w:rPr>
                <w:sz w:val="26"/>
                <w:szCs w:val="26"/>
                <w:vertAlign w:val="superscript"/>
              </w:rPr>
              <w:t>th</w:t>
            </w:r>
            <w:r w:rsidR="00715A30" w:rsidRPr="005E04F9">
              <w:rPr>
                <w:sz w:val="26"/>
                <w:szCs w:val="26"/>
              </w:rPr>
              <w:t xml:space="preserve"> </w:t>
            </w:r>
            <w:r w:rsidR="00254EA2" w:rsidRPr="005E04F9">
              <w:rPr>
                <w:sz w:val="26"/>
                <w:szCs w:val="26"/>
              </w:rPr>
              <w:t>Straight Month</w:t>
            </w:r>
            <w:r w:rsidRPr="005E04F9">
              <w:rPr>
                <w:sz w:val="26"/>
                <w:szCs w:val="26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6342795A" w:rsidR="00E302C4" w:rsidRPr="005E04F9" w:rsidRDefault="00B3472D" w:rsidP="00B20739">
            <w:pPr>
              <w:pStyle w:val="ListParagraph"/>
              <w:ind w:left="510"/>
              <w:rPr>
                <w:sz w:val="26"/>
                <w:szCs w:val="26"/>
              </w:rPr>
            </w:pPr>
            <w:r w:rsidRPr="005E04F9">
              <w:rPr>
                <w:sz w:val="26"/>
                <w:szCs w:val="26"/>
              </w:rPr>
              <w:t>Listings</w:t>
            </w:r>
            <w:r w:rsidR="003119B1" w:rsidRPr="005E04F9">
              <w:rPr>
                <w:sz w:val="26"/>
                <w:szCs w:val="26"/>
              </w:rPr>
              <w:t xml:space="preserve"> </w:t>
            </w:r>
            <w:r w:rsidR="00254EA2" w:rsidRPr="005E04F9">
              <w:rPr>
                <w:sz w:val="26"/>
                <w:szCs w:val="26"/>
              </w:rPr>
              <w:t xml:space="preserve">Up for </w:t>
            </w:r>
            <w:r w:rsidR="004C5B6B" w:rsidRPr="005E04F9">
              <w:rPr>
                <w:sz w:val="26"/>
                <w:szCs w:val="26"/>
              </w:rPr>
              <w:t>10</w:t>
            </w:r>
            <w:r w:rsidR="00254EA2" w:rsidRPr="005E04F9">
              <w:rPr>
                <w:sz w:val="26"/>
                <w:szCs w:val="26"/>
                <w:vertAlign w:val="superscript"/>
              </w:rPr>
              <w:t>th</w:t>
            </w:r>
            <w:r w:rsidR="00254EA2" w:rsidRPr="005E04F9">
              <w:rPr>
                <w:sz w:val="26"/>
                <w:szCs w:val="26"/>
              </w:rPr>
              <w:t xml:space="preserve"> Straight Month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5949A919" w:rsidR="00E302C4" w:rsidRPr="005E04F9" w:rsidRDefault="003D3BFE" w:rsidP="00B20739">
            <w:pPr>
              <w:pStyle w:val="ListParagraph"/>
              <w:ind w:left="510"/>
              <w:rPr>
                <w:sz w:val="26"/>
                <w:szCs w:val="26"/>
              </w:rPr>
            </w:pPr>
            <w:r w:rsidRPr="005E04F9">
              <w:rPr>
                <w:sz w:val="26"/>
                <w:szCs w:val="26"/>
              </w:rPr>
              <w:t xml:space="preserve">Average </w:t>
            </w:r>
            <w:r w:rsidR="00254EA2" w:rsidRPr="005E04F9">
              <w:rPr>
                <w:sz w:val="26"/>
                <w:szCs w:val="26"/>
              </w:rPr>
              <w:t xml:space="preserve">Price Up </w:t>
            </w:r>
            <w:r w:rsidR="00ED1F95" w:rsidRPr="005E04F9">
              <w:rPr>
                <w:sz w:val="26"/>
                <w:szCs w:val="26"/>
              </w:rPr>
              <w:t>3.5</w:t>
            </w:r>
            <w:r w:rsidR="00254EA2" w:rsidRPr="005E04F9">
              <w:rPr>
                <w:sz w:val="26"/>
                <w:szCs w:val="26"/>
              </w:rPr>
              <w:t xml:space="preserve">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52A1F9B9" w:rsidR="00B170CC" w:rsidRPr="00627017" w:rsidRDefault="004C5B6B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D49C56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1BEEAA4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C5B6B" w:rsidRPr="00627017" w14:paraId="20306320" w14:textId="77777777" w:rsidTr="00C742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EB4AB" w14:textId="7CFD9B26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5F808" w14:textId="2835ED4D" w:rsidR="004C5B6B" w:rsidRPr="00627017" w:rsidRDefault="004C5B6B" w:rsidP="004C5B6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4B08" w14:textId="37DD7D69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7.2%</w:t>
            </w:r>
          </w:p>
        </w:tc>
      </w:tr>
      <w:tr w:rsidR="004C5B6B" w:rsidRPr="00627017" w14:paraId="476C4D87" w14:textId="77777777" w:rsidTr="00C742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E16B9" w14:textId="47210833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AADAC" w14:textId="59446B4F" w:rsidR="004C5B6B" w:rsidRPr="00627017" w:rsidRDefault="004C5B6B" w:rsidP="004C5B6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9A559A1" w14:textId="30D5AD49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14.5%</w:t>
            </w:r>
          </w:p>
        </w:tc>
      </w:tr>
      <w:tr w:rsidR="004C5B6B" w:rsidRPr="00627017" w14:paraId="7C64D003" w14:textId="77777777" w:rsidTr="00C742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1EC73" w14:textId="10659F77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8E35F" w14:textId="25A358D2" w:rsidR="004C5B6B" w:rsidRPr="00627017" w:rsidRDefault="004C5B6B" w:rsidP="004C5B6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AD6B" w14:textId="069339CC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-12.3%</w:t>
            </w:r>
          </w:p>
        </w:tc>
      </w:tr>
      <w:tr w:rsidR="004C5B6B" w:rsidRPr="00627017" w14:paraId="73B88858" w14:textId="77777777" w:rsidTr="00C742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56538" w14:textId="591D01DA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8DCFA" w14:textId="48DCF19F" w:rsidR="004C5B6B" w:rsidRPr="00627017" w:rsidRDefault="004C5B6B" w:rsidP="004C5B6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A622F2D" w14:textId="5F2E2A0A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23.5%</w:t>
            </w:r>
          </w:p>
        </w:tc>
      </w:tr>
      <w:tr w:rsidR="004C5B6B" w:rsidRPr="00627017" w14:paraId="29367927" w14:textId="77777777" w:rsidTr="00C7425F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0E7A" w14:textId="090FB434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451F" w14:textId="3A80D7F4" w:rsidR="004C5B6B" w:rsidRPr="00627017" w:rsidRDefault="004C5B6B" w:rsidP="004C5B6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9831" w14:textId="7BE973CB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C5B6B" w:rsidRPr="00627017" w14:paraId="4DB026E3" w14:textId="77777777" w:rsidTr="00CF6922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067B3" w14:textId="0CA6975D" w:rsidR="004C5B6B" w:rsidRPr="00627017" w:rsidRDefault="004C5B6B" w:rsidP="004C5B6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84B77" w14:textId="6E0987B3" w:rsidR="004C5B6B" w:rsidRPr="00627017" w:rsidRDefault="004C5B6B" w:rsidP="004C5B6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F94E" w14:textId="7EA7D1B7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3.8%</w:t>
            </w:r>
          </w:p>
        </w:tc>
      </w:tr>
      <w:tr w:rsidR="004C5B6B" w:rsidRPr="00627017" w14:paraId="509D9972" w14:textId="77777777" w:rsidTr="00CF6922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8B309" w14:textId="072544B5" w:rsidR="004C5B6B" w:rsidRPr="00627017" w:rsidRDefault="004C5B6B" w:rsidP="004C5B6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A53D4D7" w14:textId="3BC98488" w:rsidR="004C5B6B" w:rsidRPr="00627017" w:rsidRDefault="004C5B6B" w:rsidP="004C5B6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D18EF35" w14:textId="3CEE38C3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0.6%</w:t>
            </w:r>
          </w:p>
        </w:tc>
      </w:tr>
      <w:tr w:rsidR="004C5B6B" w:rsidRPr="00627017" w14:paraId="42ECBD06" w14:textId="77777777" w:rsidTr="00CF6922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2D891" w14:textId="1A046523" w:rsidR="004C5B6B" w:rsidRPr="00627017" w:rsidRDefault="004C5B6B" w:rsidP="004C5B6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0A580" w14:textId="35A8B074" w:rsidR="004C5B6B" w:rsidRPr="00627017" w:rsidRDefault="004C5B6B" w:rsidP="004C5B6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DF6A" w14:textId="23862996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14.9%</w:t>
            </w:r>
          </w:p>
        </w:tc>
      </w:tr>
      <w:tr w:rsidR="004C5B6B" w:rsidRPr="00627017" w14:paraId="122A5C4D" w14:textId="77777777" w:rsidTr="00CF6922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3030" w14:textId="6CF611FE" w:rsidR="004C5B6B" w:rsidRPr="00627017" w:rsidRDefault="004C5B6B" w:rsidP="004C5B6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2,074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667CA0E" w14:textId="371D2773" w:rsidR="004C5B6B" w:rsidRPr="00627017" w:rsidRDefault="004C5B6B" w:rsidP="004C5B6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6BF40EC" w14:textId="747F2916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3BD90372" w:rsidR="00F264CF" w:rsidRPr="00627017" w:rsidRDefault="004C5B6B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 w:rsidR="008862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215DAF4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3A94371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C5B6B" w:rsidRPr="00627017" w14:paraId="1AA23907" w14:textId="77777777" w:rsidTr="00FB1B0D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63139" w14:textId="7E46CF2F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FA7B2" w14:textId="7D873488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140DE" w14:textId="46F74C5A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12.5%</w:t>
            </w:r>
          </w:p>
        </w:tc>
      </w:tr>
      <w:tr w:rsidR="004C5B6B" w:rsidRPr="00627017" w14:paraId="57BCDE15" w14:textId="77777777" w:rsidTr="00FB1B0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930A4" w14:textId="1838F7C8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89B2F76" w14:textId="5C867A63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478C224" w14:textId="2E1213CA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20.3%</w:t>
            </w:r>
          </w:p>
        </w:tc>
      </w:tr>
      <w:tr w:rsidR="004C5B6B" w:rsidRPr="00627017" w14:paraId="355A5DBE" w14:textId="77777777" w:rsidTr="00FB1B0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2F775" w14:textId="068DEE79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890D5" w14:textId="0E025361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1152" w14:textId="0A45654B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10.3%</w:t>
            </w:r>
          </w:p>
        </w:tc>
      </w:tr>
      <w:tr w:rsidR="004C5B6B" w:rsidRPr="00627017" w14:paraId="64E87CC5" w14:textId="77777777" w:rsidTr="00FB1B0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AC7B0" w14:textId="234B9270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32E30A01" w14:textId="253DA243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B039E9B" w14:textId="4886BA6F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5.6%</w:t>
            </w:r>
          </w:p>
        </w:tc>
      </w:tr>
      <w:tr w:rsidR="004C5B6B" w:rsidRPr="00627017" w14:paraId="45CEE296" w14:textId="77777777" w:rsidTr="00FB1B0D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9C3C" w14:textId="73AB02D9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732E" w14:textId="02992676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AB64" w14:textId="4865386F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C5B6B" w:rsidRPr="00627017" w14:paraId="68627583" w14:textId="77777777" w:rsidTr="006E14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4516A" w14:textId="2B3A8C5E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84A6E" w14:textId="0027ACE5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1BC8" w14:textId="0D209041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15.9%</w:t>
            </w:r>
          </w:p>
        </w:tc>
      </w:tr>
      <w:tr w:rsidR="004C5B6B" w:rsidRPr="00627017" w14:paraId="43BFC7D0" w14:textId="77777777" w:rsidTr="006E14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7F665" w14:textId="354AD6E5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3559378" w14:textId="1322E9C6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5074A72" w14:textId="3D6F0C50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6.5%</w:t>
            </w:r>
          </w:p>
        </w:tc>
      </w:tr>
      <w:tr w:rsidR="004C5B6B" w:rsidRPr="00627017" w14:paraId="74C7B9C3" w14:textId="77777777" w:rsidTr="006E14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2E2C3" w14:textId="68381DCF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C2C9D9" w14:textId="4BDC6DF5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701C" w14:textId="62732F16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5.7%</w:t>
            </w:r>
          </w:p>
        </w:tc>
      </w:tr>
      <w:tr w:rsidR="004C5B6B" w:rsidRPr="00627017" w14:paraId="719D3710" w14:textId="77777777" w:rsidTr="006E145F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4C5B6B" w:rsidRPr="00627017" w:rsidRDefault="004C5B6B" w:rsidP="004C5B6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20C1" w14:textId="77E24C16" w:rsidR="004C5B6B" w:rsidRPr="00627017" w:rsidRDefault="004C5B6B" w:rsidP="004C5B6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2,597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F38483E" w14:textId="3F8DD3D0" w:rsidR="004C5B6B" w:rsidRPr="00627017" w:rsidRDefault="004C5B6B" w:rsidP="004C5B6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D383D86" w14:textId="3F03BB16" w:rsidR="004C5B6B" w:rsidRPr="00627017" w:rsidRDefault="004C5B6B" w:rsidP="004C5B6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26B808C4" w14:textId="41469B8F" w:rsidR="0077154C" w:rsidRDefault="004C5B6B" w:rsidP="00F84C72">
      <w:r>
        <w:t>H</w:t>
      </w:r>
      <w:r w:rsidR="00ED1F95">
        <w:t xml:space="preserve">ome sales were </w:t>
      </w:r>
      <w:r w:rsidR="00126EB0">
        <w:t xml:space="preserve">up </w:t>
      </w:r>
      <w:r>
        <w:t xml:space="preserve">9.0% in the </w:t>
      </w:r>
      <w:r w:rsidRPr="0077154C">
        <w:t xml:space="preserve">Metropolitan Milwaukee </w:t>
      </w:r>
      <w:r>
        <w:t>market in May</w:t>
      </w:r>
      <w:r w:rsidR="00126EB0">
        <w:t xml:space="preserve"> </w:t>
      </w:r>
      <w:r w:rsidR="0051798C">
        <w:t xml:space="preserve">for </w:t>
      </w:r>
      <w:r>
        <w:t xml:space="preserve">a fifth </w:t>
      </w:r>
      <w:r w:rsidR="0051798C">
        <w:t xml:space="preserve">straight month. </w:t>
      </w:r>
    </w:p>
    <w:p w14:paraId="78AC26E6" w14:textId="77777777" w:rsidR="0077154C" w:rsidRDefault="0077154C" w:rsidP="00F84C72"/>
    <w:p w14:paraId="427B9F12" w14:textId="6D35716D" w:rsidR="00A364ED" w:rsidRDefault="0077154C" w:rsidP="00F84C72">
      <w:r w:rsidRPr="0077154C">
        <w:t xml:space="preserve">Listings </w:t>
      </w:r>
      <w:r w:rsidR="004C5B6B">
        <w:t xml:space="preserve">were </w:t>
      </w:r>
      <w:r w:rsidRPr="0077154C">
        <w:t>up</w:t>
      </w:r>
      <w:r w:rsidR="004C5B6B">
        <w:t xml:space="preserve"> </w:t>
      </w:r>
      <w:r w:rsidR="00063B04">
        <w:t>as well</w:t>
      </w:r>
      <w:r w:rsidRPr="0077154C">
        <w:t xml:space="preserve">, rising </w:t>
      </w:r>
      <w:r w:rsidR="004C5B6B">
        <w:t>13</w:t>
      </w:r>
      <w:r w:rsidRPr="0077154C">
        <w:t>.</w:t>
      </w:r>
      <w:r w:rsidR="004C5B6B">
        <w:t>8</w:t>
      </w:r>
      <w:r w:rsidRPr="0077154C">
        <w:t>%</w:t>
      </w:r>
      <w:r w:rsidR="004C5B6B">
        <w:t>, extending a</w:t>
      </w:r>
      <w:r w:rsidR="00063B04">
        <w:t xml:space="preserve"> </w:t>
      </w:r>
      <w:r w:rsidR="004C5B6B">
        <w:t xml:space="preserve">10 month </w:t>
      </w:r>
      <w:r w:rsidR="00063B04">
        <w:t>streak</w:t>
      </w:r>
      <w:r w:rsidR="00C1589E">
        <w:t xml:space="preserve"> t</w:t>
      </w:r>
      <w:r w:rsidR="00CC4489">
        <w:t>hat has not been matched since</w:t>
      </w:r>
      <w:r w:rsidR="00E52077">
        <w:t xml:space="preserve"> </w:t>
      </w:r>
      <w:r w:rsidR="004C5B6B">
        <w:t>the mid-2000s</w:t>
      </w:r>
      <w:r w:rsidRPr="0077154C">
        <w:t xml:space="preserve">. </w:t>
      </w:r>
      <w:r w:rsidR="005E04F9">
        <w:t xml:space="preserve">However, listings </w:t>
      </w:r>
      <w:r w:rsidR="005E04F9">
        <w:t xml:space="preserve">coming on the market </w:t>
      </w:r>
      <w:r w:rsidR="005E04F9">
        <w:t>are not lingering, they are</w:t>
      </w:r>
      <w:r w:rsidR="000A3182">
        <w:t xml:space="preserve"> being absorbed quickly because </w:t>
      </w:r>
      <w:r w:rsidR="005E04F9">
        <w:t xml:space="preserve">of </w:t>
      </w:r>
      <w:r w:rsidR="005E04F9">
        <w:t>strong</w:t>
      </w:r>
      <w:r w:rsidR="005E04F9">
        <w:t xml:space="preserve"> </w:t>
      </w:r>
      <w:r w:rsidR="000A3182">
        <w:t>demand.</w:t>
      </w:r>
      <w:r w:rsidR="00A364ED">
        <w:t xml:space="preserve"> </w:t>
      </w:r>
    </w:p>
    <w:p w14:paraId="56441630" w14:textId="77777777" w:rsidR="00A364ED" w:rsidRDefault="00A364ED" w:rsidP="00F84C72"/>
    <w:p w14:paraId="0F1006E1" w14:textId="365F0A8E" w:rsidR="000A3182" w:rsidRDefault="000A3182" w:rsidP="00F84C72">
      <w:r>
        <w:t xml:space="preserve">One measure of the </w:t>
      </w:r>
      <w:r w:rsidR="00D655BC">
        <w:t xml:space="preserve">vigor </w:t>
      </w:r>
      <w:r w:rsidR="00DE394A">
        <w:t xml:space="preserve">of </w:t>
      </w:r>
      <w:r>
        <w:t xml:space="preserve">the demand side of the market can be measured in prices. In May, prices went up 11.7% from a year earlier. </w:t>
      </w:r>
    </w:p>
    <w:p w14:paraId="7FD6D029" w14:textId="77777777" w:rsidR="000A3182" w:rsidRDefault="000A3182" w:rsidP="00F84C72"/>
    <w:p w14:paraId="31258F63" w14:textId="35B5BFF5" w:rsidR="00F52A47" w:rsidRDefault="00D655BC" w:rsidP="00F84C72">
      <w:r>
        <w:t>B</w:t>
      </w:r>
      <w:r w:rsidR="00E75C80">
        <w:t xml:space="preserve">uyers </w:t>
      </w:r>
      <w:r>
        <w:t xml:space="preserve">gobbled </w:t>
      </w:r>
      <w:r w:rsidR="000A3182">
        <w:t>up</w:t>
      </w:r>
      <w:r w:rsidR="00E75C80">
        <w:t xml:space="preserve"> </w:t>
      </w:r>
      <w:r w:rsidR="000A3182">
        <w:t>m</w:t>
      </w:r>
      <w:r>
        <w:t xml:space="preserve">ost </w:t>
      </w:r>
      <w:r w:rsidR="000A3182">
        <w:t>of the listings available</w:t>
      </w:r>
      <w:r>
        <w:t xml:space="preserve"> in May</w:t>
      </w:r>
      <w:r w:rsidR="000A3182">
        <w:t xml:space="preserve"> – often </w:t>
      </w:r>
      <w:r>
        <w:t xml:space="preserve">making </w:t>
      </w:r>
      <w:r w:rsidR="000A3182">
        <w:t>multiple offers</w:t>
      </w:r>
      <w:r w:rsidR="00DE394A">
        <w:t xml:space="preserve"> </w:t>
      </w:r>
      <w:r>
        <w:t>– pushing prices up to an average of $417,079</w:t>
      </w:r>
      <w:r w:rsidR="00AD369A">
        <w:t xml:space="preserve">. </w:t>
      </w:r>
    </w:p>
    <w:p w14:paraId="120B0D19" w14:textId="77777777" w:rsidR="00F52A47" w:rsidRDefault="00F52A47" w:rsidP="00F84C72"/>
    <w:p w14:paraId="333767DC" w14:textId="38924A04" w:rsidR="008B7B91" w:rsidRDefault="00F52A47" w:rsidP="00F84C72">
      <w:r>
        <w:t>O</w:t>
      </w:r>
      <w:r w:rsidR="00E108CA">
        <w:t>ften</w:t>
      </w:r>
      <w:r w:rsidR="005E04F9">
        <w:t>,</w:t>
      </w:r>
      <w:r w:rsidR="00E108CA">
        <w:t xml:space="preserve"> </w:t>
      </w:r>
      <w:r w:rsidR="00D655BC">
        <w:t xml:space="preserve">when </w:t>
      </w:r>
      <w:r w:rsidR="00E108CA">
        <w:t xml:space="preserve">listings increase </w:t>
      </w:r>
      <w:r w:rsidR="00E21AE1">
        <w:t>prices will moderate</w:t>
      </w:r>
      <w:r w:rsidR="00032E75">
        <w:t xml:space="preserve"> because buyers have more options</w:t>
      </w:r>
      <w:r w:rsidR="00D655BC">
        <w:t xml:space="preserve"> and can </w:t>
      </w:r>
      <w:r w:rsidR="00C73042">
        <w:t xml:space="preserve">take their time </w:t>
      </w:r>
      <w:r w:rsidR="005E04F9">
        <w:t>before</w:t>
      </w:r>
      <w:r w:rsidR="00C73042">
        <w:t xml:space="preserve"> making an </w:t>
      </w:r>
      <w:r w:rsidR="00D655BC">
        <w:t xml:space="preserve">offer. </w:t>
      </w:r>
      <w:r w:rsidR="00C73042">
        <w:t>Today’s market, h</w:t>
      </w:r>
      <w:r w:rsidR="00032E75">
        <w:t xml:space="preserve">owever, </w:t>
      </w:r>
      <w:r w:rsidR="00D655BC">
        <w:t>would need several thousand more listings to achieve that kind of equilibrium</w:t>
      </w:r>
      <w:r w:rsidR="008B7B91">
        <w:t xml:space="preserve">. </w:t>
      </w:r>
    </w:p>
    <w:p w14:paraId="3C910B55" w14:textId="77777777" w:rsidR="008B7B91" w:rsidRDefault="008B7B91" w:rsidP="00F84C72"/>
    <w:p w14:paraId="54ACFC4E" w14:textId="79C89248" w:rsidR="00591C7A" w:rsidRPr="00092126" w:rsidRDefault="00332152" w:rsidP="00F84C72">
      <w:r>
        <w:t xml:space="preserve">Not only are a lack of listings </w:t>
      </w:r>
      <w:r w:rsidR="009E1D35">
        <w:t xml:space="preserve">for existing homes </w:t>
      </w:r>
      <w:r>
        <w:t xml:space="preserve">a cause </w:t>
      </w:r>
      <w:r w:rsidR="005219A3">
        <w:t>o</w:t>
      </w:r>
      <w:r>
        <w:t xml:space="preserve">f </w:t>
      </w:r>
      <w:r w:rsidR="0077154C" w:rsidRPr="0077154C">
        <w:t>price</w:t>
      </w:r>
      <w:r>
        <w:t xml:space="preserve"> pressure, but </w:t>
      </w:r>
      <w:r w:rsidR="005219A3">
        <w:t xml:space="preserve">a lack of new </w:t>
      </w:r>
      <w:r w:rsidR="0077154C" w:rsidRPr="0077154C">
        <w:t>construction</w:t>
      </w:r>
      <w:r w:rsidR="009E1D35">
        <w:t xml:space="preserve"> is a chronic problem</w:t>
      </w:r>
      <w:r w:rsidR="0077154C" w:rsidRPr="0077154C">
        <w:t xml:space="preserve"> that has </w:t>
      </w:r>
      <w:r w:rsidR="0077154C">
        <w:t>endured</w:t>
      </w:r>
      <w:r w:rsidR="0077154C" w:rsidRPr="0077154C">
        <w:t xml:space="preserve"> for years. </w:t>
      </w:r>
      <w:r w:rsidR="00D655BC">
        <w:t xml:space="preserve">Although, </w:t>
      </w:r>
      <w:r w:rsidR="005E04F9">
        <w:t xml:space="preserve">there may be some daylight down the </w:t>
      </w:r>
      <w:r w:rsidR="0077154C" w:rsidRPr="0077154C">
        <w:t xml:space="preserve">new construction </w:t>
      </w:r>
      <w:r w:rsidR="005E04F9">
        <w:t>tunnel</w:t>
      </w:r>
      <w:r w:rsidR="00A364ED">
        <w:t>.</w:t>
      </w:r>
    </w:p>
    <w:p w14:paraId="6D7EF014" w14:textId="77777777" w:rsidR="004B2A93" w:rsidRDefault="004B2A93" w:rsidP="00F84C72"/>
    <w:p w14:paraId="4FE50EF4" w14:textId="7C8F26B8" w:rsidR="00785F83" w:rsidRPr="00CF1195" w:rsidRDefault="00105A82" w:rsidP="00F84C72">
      <w:r>
        <w:lastRenderedPageBreak/>
        <w:t xml:space="preserve">Through </w:t>
      </w:r>
      <w:r w:rsidR="00DB4453">
        <w:t>April</w:t>
      </w:r>
      <w:r w:rsidR="00542FF4">
        <w:t>,</w:t>
      </w:r>
      <w:r w:rsidR="007A5A12" w:rsidRPr="007A5A12">
        <w:t xml:space="preserve"> </w:t>
      </w:r>
      <w:r w:rsidR="000A7FB3">
        <w:t>6</w:t>
      </w:r>
      <w:r w:rsidR="00DB4453">
        <w:t>44</w:t>
      </w:r>
      <w:r w:rsidR="003244DA" w:rsidRPr="00CF1195">
        <w:t xml:space="preserve"> </w:t>
      </w:r>
      <w:r w:rsidRPr="00CF1195">
        <w:t>new construction</w:t>
      </w:r>
      <w:r w:rsidR="003244DA" w:rsidRPr="00CF1195">
        <w:t xml:space="preserve"> permits were taken out in the 4-county area, </w:t>
      </w:r>
      <w:r w:rsidR="004115F1">
        <w:t>5</w:t>
      </w:r>
      <w:r w:rsidR="00DB4453">
        <w:t>1</w:t>
      </w:r>
      <w:r w:rsidRPr="00CF1195">
        <w:t>.</w:t>
      </w:r>
      <w:r w:rsidR="00DB4453">
        <w:t>9</w:t>
      </w:r>
      <w:r w:rsidR="003244DA" w:rsidRPr="00CF1195">
        <w:t xml:space="preserve">% </w:t>
      </w:r>
      <w:r w:rsidR="00CF1195" w:rsidRPr="00CF1195">
        <w:t xml:space="preserve">above </w:t>
      </w:r>
      <w:r w:rsidR="003244DA" w:rsidRPr="00CF1195">
        <w:t>the same period in 202</w:t>
      </w:r>
      <w:r w:rsidR="00CF1195" w:rsidRPr="00CF1195">
        <w:t>3</w:t>
      </w:r>
      <w:r w:rsidR="00DB4453">
        <w:t xml:space="preserve"> (424 permits vs. 644 permits). G</w:t>
      </w:r>
      <w:r w:rsidR="00CF1195">
        <w:t xml:space="preserve">ood news but well below the </w:t>
      </w:r>
      <w:r w:rsidR="008D5219" w:rsidRPr="00CF1195">
        <w:t>production</w:t>
      </w:r>
      <w:r w:rsidR="00CF1195">
        <w:t xml:space="preserve"> level needed to meet demand</w:t>
      </w:r>
      <w:r w:rsidR="008D5219" w:rsidRPr="00CF1195">
        <w:t>.</w:t>
      </w:r>
      <w:r w:rsidR="007A5A12" w:rsidRPr="00CF1195">
        <w:t xml:space="preserve"> </w:t>
      </w:r>
    </w:p>
    <w:p w14:paraId="699E76B4" w14:textId="77777777" w:rsidR="00C434EA" w:rsidRDefault="00C434EA" w:rsidP="00F84C72"/>
    <w:p w14:paraId="571D0DF5" w14:textId="16267A22" w:rsidR="00C434EA" w:rsidRDefault="00C434EA" w:rsidP="00F84C72">
      <w:r w:rsidRPr="00C434EA">
        <w:t xml:space="preserve">New construction would normally add 3,000 - 4,000 units to the market annually, but that market segment has been down by </w:t>
      </w:r>
      <w:r>
        <w:t xml:space="preserve">about </w:t>
      </w:r>
      <w:r w:rsidR="00306E84">
        <w:t>5</w:t>
      </w:r>
      <w:r w:rsidRPr="00C434EA">
        <w:t xml:space="preserve">0% </w:t>
      </w:r>
      <w:r>
        <w:t>since the Great Recession</w:t>
      </w:r>
      <w:r w:rsidRPr="00C434EA">
        <w:t>.</w:t>
      </w:r>
      <w:r w:rsidR="00105A82">
        <w:t xml:space="preserve"> </w:t>
      </w:r>
    </w:p>
    <w:p w14:paraId="283B4716" w14:textId="77777777" w:rsidR="007C3421" w:rsidRPr="007A5A12" w:rsidRDefault="007C3421" w:rsidP="00F84C72"/>
    <w:p w14:paraId="550827F1" w14:textId="792DDD4D" w:rsidR="00E65D35" w:rsidRDefault="007C3421" w:rsidP="003244DA">
      <w:pPr>
        <w:ind w:right="-180"/>
      </w:pPr>
      <w:r>
        <w:t>A</w:t>
      </w:r>
      <w:r w:rsidR="003244DA">
        <w:t>s we have been highlighting for several years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>an exceedingly difficult</w:t>
      </w:r>
      <w:r w:rsidR="00306E84">
        <w:t xml:space="preserve"> time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0D275467" w:rsidR="00E65D35" w:rsidRDefault="00E65D35" w:rsidP="003244DA">
      <w:pPr>
        <w:ind w:right="-180"/>
      </w:pPr>
    </w:p>
    <w:p w14:paraId="4E012A29" w14:textId="2B201D5A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588F95C" w:rsidR="002920FB" w:rsidRDefault="002920FB" w:rsidP="003244DA"/>
    <w:p w14:paraId="552448E6" w14:textId="1EE7341E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6C6A5D4A" w14:textId="125F8C9A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5FE7BE39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33554537" w:rsidR="003244DA" w:rsidRPr="00627017" w:rsidRDefault="003244DA" w:rsidP="003244DA"/>
    <w:p w14:paraId="4D2D04D8" w14:textId="5068A889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2C01D7CB" w:rsidR="003244DA" w:rsidRPr="00627017" w:rsidRDefault="003244DA" w:rsidP="003244DA"/>
    <w:p w14:paraId="04807D94" w14:textId="4A97946D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33390B28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4E3CAB3B" w:rsidR="00722A43" w:rsidRDefault="00516096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881CA48" wp14:editId="7639E972">
            <wp:extent cx="5486400" cy="3200400"/>
            <wp:effectExtent l="0" t="0" r="0" b="0"/>
            <wp:docPr id="4321669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1FEB33E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4C5B6B">
        <w:rPr>
          <w:rStyle w:val="NormalCalloutText"/>
        </w:rPr>
        <w:t>May</w:t>
      </w:r>
      <w:r w:rsidR="0060287B" w:rsidRPr="00F84C72">
        <w:rPr>
          <w:rStyle w:val="NormalCalloutText"/>
        </w:rPr>
        <w:t xml:space="preserve"> was </w:t>
      </w:r>
      <w:r w:rsidR="00516096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516096">
        <w:rPr>
          <w:rStyle w:val="NormalCalloutText"/>
        </w:rPr>
        <w:t>8</w:t>
      </w:r>
      <w:r w:rsidR="0060287B" w:rsidRPr="00F84C72">
        <w:rPr>
          <w:rStyle w:val="NormalCalloutText"/>
        </w:rPr>
        <w:t xml:space="preserve"> month</w:t>
      </w:r>
      <w:r w:rsidR="00516096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</w:t>
      </w:r>
      <w:r w:rsidR="00EC414E">
        <w:rPr>
          <w:b/>
          <w:bCs/>
          <w:color w:val="203058"/>
        </w:rPr>
        <w:t>2</w:t>
      </w:r>
      <w:r w:rsidR="00516096">
        <w:rPr>
          <w:b/>
          <w:bCs/>
          <w:color w:val="203058"/>
        </w:rPr>
        <w:t>97</w:t>
      </w:r>
      <w:r w:rsidR="00FE2AA3" w:rsidRPr="00F84C72">
        <w:rPr>
          <w:rStyle w:val="NormalCalloutText"/>
        </w:rPr>
        <w:t xml:space="preserve"> listings, which equals </w:t>
      </w:r>
      <w:r w:rsidR="00516096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516096">
        <w:rPr>
          <w:rStyle w:val="NormalCalloutText"/>
        </w:rPr>
        <w:t>0</w:t>
      </w:r>
      <w:r w:rsidR="00FE2AA3" w:rsidRPr="00F84C72">
        <w:rPr>
          <w:rStyle w:val="NormalCalloutText"/>
        </w:rPr>
        <w:t xml:space="preserve"> month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6938AC89" w:rsidR="00FE2AA3" w:rsidRDefault="00516096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3E3FED45" wp14:editId="357E4051">
            <wp:extent cx="5486400" cy="2971800"/>
            <wp:effectExtent l="0" t="0" r="0" b="0"/>
            <wp:docPr id="631802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54698BE6" w:rsidR="002920FB" w:rsidRDefault="004E6698" w:rsidP="007F0359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E65D35" w:rsidRPr="00E65D35">
        <w:t>3</w:t>
      </w:r>
      <w:r w:rsidRPr="00E65D35">
        <w:t>,</w:t>
      </w:r>
      <w:r w:rsidR="00516096">
        <w:t>910</w:t>
      </w:r>
      <w:r w:rsidRPr="00E65D35">
        <w:t xml:space="preserve"> current listings providing </w:t>
      </w:r>
      <w:r w:rsidR="00E65D35" w:rsidRPr="00E65D35">
        <w:t>2.</w:t>
      </w:r>
      <w:r w:rsidR="00516096">
        <w:t>8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350097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516096">
        <w:rPr>
          <w:rStyle w:val="NormalCalloutText"/>
        </w:rPr>
        <w:t>415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A542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6688" w14:textId="77777777" w:rsidR="00990A8C" w:rsidRDefault="00990A8C" w:rsidP="003B327A">
      <w:r>
        <w:separator/>
      </w:r>
    </w:p>
  </w:endnote>
  <w:endnote w:type="continuationSeparator" w:id="0">
    <w:p w14:paraId="668A43EF" w14:textId="77777777" w:rsidR="00990A8C" w:rsidRDefault="00990A8C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B4895" w14:textId="77777777" w:rsidR="00990A8C" w:rsidRDefault="00990A8C" w:rsidP="003B327A">
      <w:r>
        <w:separator/>
      </w:r>
    </w:p>
  </w:footnote>
  <w:footnote w:type="continuationSeparator" w:id="0">
    <w:p w14:paraId="4B7BDFED" w14:textId="77777777" w:rsidR="00990A8C" w:rsidRDefault="00990A8C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2E75"/>
    <w:rsid w:val="000359A8"/>
    <w:rsid w:val="000418A7"/>
    <w:rsid w:val="00041F41"/>
    <w:rsid w:val="00045DDB"/>
    <w:rsid w:val="000478F6"/>
    <w:rsid w:val="00050D04"/>
    <w:rsid w:val="00050EC7"/>
    <w:rsid w:val="00057F91"/>
    <w:rsid w:val="00063B04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1D17"/>
    <w:rsid w:val="00092126"/>
    <w:rsid w:val="000927A7"/>
    <w:rsid w:val="0009739A"/>
    <w:rsid w:val="000A01E3"/>
    <w:rsid w:val="000A2CE6"/>
    <w:rsid w:val="000A3182"/>
    <w:rsid w:val="000A3217"/>
    <w:rsid w:val="000A4141"/>
    <w:rsid w:val="000A54B9"/>
    <w:rsid w:val="000A7132"/>
    <w:rsid w:val="000A7A27"/>
    <w:rsid w:val="000A7FB3"/>
    <w:rsid w:val="000B471A"/>
    <w:rsid w:val="000C0358"/>
    <w:rsid w:val="000C5D86"/>
    <w:rsid w:val="000D0E85"/>
    <w:rsid w:val="000D18CE"/>
    <w:rsid w:val="000D275D"/>
    <w:rsid w:val="000E0548"/>
    <w:rsid w:val="000E4CD9"/>
    <w:rsid w:val="000E646C"/>
    <w:rsid w:val="000E6502"/>
    <w:rsid w:val="000F21F9"/>
    <w:rsid w:val="001005D7"/>
    <w:rsid w:val="0010266B"/>
    <w:rsid w:val="00105A82"/>
    <w:rsid w:val="00106E2A"/>
    <w:rsid w:val="001111CB"/>
    <w:rsid w:val="00112D8F"/>
    <w:rsid w:val="001225DE"/>
    <w:rsid w:val="00122DEE"/>
    <w:rsid w:val="00123E7A"/>
    <w:rsid w:val="00124A77"/>
    <w:rsid w:val="00125C6C"/>
    <w:rsid w:val="00126EB0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06E"/>
    <w:rsid w:val="001928B3"/>
    <w:rsid w:val="00192A0B"/>
    <w:rsid w:val="001A060A"/>
    <w:rsid w:val="001A5F8A"/>
    <w:rsid w:val="001B41B1"/>
    <w:rsid w:val="001B4CFE"/>
    <w:rsid w:val="001B5D60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203269"/>
    <w:rsid w:val="00205183"/>
    <w:rsid w:val="00207323"/>
    <w:rsid w:val="002114BD"/>
    <w:rsid w:val="00211BC4"/>
    <w:rsid w:val="002156E5"/>
    <w:rsid w:val="00215C52"/>
    <w:rsid w:val="00220D0F"/>
    <w:rsid w:val="002228CD"/>
    <w:rsid w:val="00226695"/>
    <w:rsid w:val="002268AB"/>
    <w:rsid w:val="002311B5"/>
    <w:rsid w:val="00232416"/>
    <w:rsid w:val="0023346D"/>
    <w:rsid w:val="002338EB"/>
    <w:rsid w:val="002369FD"/>
    <w:rsid w:val="00241968"/>
    <w:rsid w:val="00244D23"/>
    <w:rsid w:val="0025010A"/>
    <w:rsid w:val="00254EA2"/>
    <w:rsid w:val="00260189"/>
    <w:rsid w:val="00261855"/>
    <w:rsid w:val="00265CC6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78ED"/>
    <w:rsid w:val="002B1788"/>
    <w:rsid w:val="002B37FD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E477B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44DA"/>
    <w:rsid w:val="00325528"/>
    <w:rsid w:val="00326B56"/>
    <w:rsid w:val="0033059A"/>
    <w:rsid w:val="00331633"/>
    <w:rsid w:val="0033168B"/>
    <w:rsid w:val="00332152"/>
    <w:rsid w:val="003343A9"/>
    <w:rsid w:val="0033497C"/>
    <w:rsid w:val="00347CC9"/>
    <w:rsid w:val="00350097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2B36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D3BFE"/>
    <w:rsid w:val="003F0A1B"/>
    <w:rsid w:val="003F403D"/>
    <w:rsid w:val="003F59E1"/>
    <w:rsid w:val="003F61C9"/>
    <w:rsid w:val="003F62F0"/>
    <w:rsid w:val="0040188A"/>
    <w:rsid w:val="00401E93"/>
    <w:rsid w:val="00402253"/>
    <w:rsid w:val="00402A91"/>
    <w:rsid w:val="004036BD"/>
    <w:rsid w:val="00407D21"/>
    <w:rsid w:val="004115F1"/>
    <w:rsid w:val="00416329"/>
    <w:rsid w:val="00416DF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5B6B"/>
    <w:rsid w:val="004C7E3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96"/>
    <w:rsid w:val="005160A6"/>
    <w:rsid w:val="005170D2"/>
    <w:rsid w:val="0051798C"/>
    <w:rsid w:val="0052049F"/>
    <w:rsid w:val="005215D6"/>
    <w:rsid w:val="005219A3"/>
    <w:rsid w:val="00521E94"/>
    <w:rsid w:val="00527591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0BA1"/>
    <w:rsid w:val="005727E5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0A50"/>
    <w:rsid w:val="005C1A84"/>
    <w:rsid w:val="005C25E4"/>
    <w:rsid w:val="005C3BB5"/>
    <w:rsid w:val="005C4AF7"/>
    <w:rsid w:val="005C581B"/>
    <w:rsid w:val="005C5E3F"/>
    <w:rsid w:val="005D0C58"/>
    <w:rsid w:val="005D4112"/>
    <w:rsid w:val="005E04F9"/>
    <w:rsid w:val="005E4C81"/>
    <w:rsid w:val="005F3908"/>
    <w:rsid w:val="005F4A95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97541"/>
    <w:rsid w:val="006977B4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562B"/>
    <w:rsid w:val="00711DCB"/>
    <w:rsid w:val="00712289"/>
    <w:rsid w:val="00715A30"/>
    <w:rsid w:val="00716F12"/>
    <w:rsid w:val="00717D51"/>
    <w:rsid w:val="007214B3"/>
    <w:rsid w:val="00721F71"/>
    <w:rsid w:val="00722A43"/>
    <w:rsid w:val="00730CFD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0359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2B3"/>
    <w:rsid w:val="00886BD5"/>
    <w:rsid w:val="00887388"/>
    <w:rsid w:val="00890BA1"/>
    <w:rsid w:val="00890E1D"/>
    <w:rsid w:val="008922D3"/>
    <w:rsid w:val="00892539"/>
    <w:rsid w:val="0089320B"/>
    <w:rsid w:val="00896C6F"/>
    <w:rsid w:val="008979A1"/>
    <w:rsid w:val="008A3BD9"/>
    <w:rsid w:val="008A3DC3"/>
    <w:rsid w:val="008A6E66"/>
    <w:rsid w:val="008B059D"/>
    <w:rsid w:val="008B7B91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0295E"/>
    <w:rsid w:val="00912FB8"/>
    <w:rsid w:val="00913F14"/>
    <w:rsid w:val="0091767C"/>
    <w:rsid w:val="0092034A"/>
    <w:rsid w:val="00921DBE"/>
    <w:rsid w:val="0092306F"/>
    <w:rsid w:val="009230D1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0A8C"/>
    <w:rsid w:val="00992EDE"/>
    <w:rsid w:val="00996601"/>
    <w:rsid w:val="00996A8C"/>
    <w:rsid w:val="009A03F9"/>
    <w:rsid w:val="009A2C6A"/>
    <w:rsid w:val="009A3885"/>
    <w:rsid w:val="009A4FA7"/>
    <w:rsid w:val="009A6291"/>
    <w:rsid w:val="009A6579"/>
    <w:rsid w:val="009B0737"/>
    <w:rsid w:val="009B0D6E"/>
    <w:rsid w:val="009B2887"/>
    <w:rsid w:val="009B3BCC"/>
    <w:rsid w:val="009B6FCA"/>
    <w:rsid w:val="009B7675"/>
    <w:rsid w:val="009C29B1"/>
    <w:rsid w:val="009C6EA8"/>
    <w:rsid w:val="009D180F"/>
    <w:rsid w:val="009D2241"/>
    <w:rsid w:val="009D4F89"/>
    <w:rsid w:val="009D6996"/>
    <w:rsid w:val="009E1D35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5E6D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28D6"/>
    <w:rsid w:val="00AC3065"/>
    <w:rsid w:val="00AC55D1"/>
    <w:rsid w:val="00AC6A57"/>
    <w:rsid w:val="00AD04AA"/>
    <w:rsid w:val="00AD1A34"/>
    <w:rsid w:val="00AD369A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2F1"/>
    <w:rsid w:val="00AF6456"/>
    <w:rsid w:val="00AF765C"/>
    <w:rsid w:val="00B01F83"/>
    <w:rsid w:val="00B02FC9"/>
    <w:rsid w:val="00B062F3"/>
    <w:rsid w:val="00B11A09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C1336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589E"/>
    <w:rsid w:val="00C16329"/>
    <w:rsid w:val="00C16B23"/>
    <w:rsid w:val="00C20390"/>
    <w:rsid w:val="00C20959"/>
    <w:rsid w:val="00C22763"/>
    <w:rsid w:val="00C234BD"/>
    <w:rsid w:val="00C234D5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55E6B"/>
    <w:rsid w:val="00C60C7C"/>
    <w:rsid w:val="00C63ADE"/>
    <w:rsid w:val="00C63D82"/>
    <w:rsid w:val="00C73042"/>
    <w:rsid w:val="00C73AAD"/>
    <w:rsid w:val="00C746BD"/>
    <w:rsid w:val="00C76AED"/>
    <w:rsid w:val="00C77E4B"/>
    <w:rsid w:val="00C8517F"/>
    <w:rsid w:val="00C919A0"/>
    <w:rsid w:val="00CA0CC3"/>
    <w:rsid w:val="00CA4DB0"/>
    <w:rsid w:val="00CA5627"/>
    <w:rsid w:val="00CB0036"/>
    <w:rsid w:val="00CB16C1"/>
    <w:rsid w:val="00CC1EAA"/>
    <w:rsid w:val="00CC316C"/>
    <w:rsid w:val="00CC4489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655BC"/>
    <w:rsid w:val="00D67FBC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4453"/>
    <w:rsid w:val="00DB6AD0"/>
    <w:rsid w:val="00DB7C1E"/>
    <w:rsid w:val="00DC07EE"/>
    <w:rsid w:val="00DC1506"/>
    <w:rsid w:val="00DC2088"/>
    <w:rsid w:val="00DC55EC"/>
    <w:rsid w:val="00DC6504"/>
    <w:rsid w:val="00DC7220"/>
    <w:rsid w:val="00DD184E"/>
    <w:rsid w:val="00DD2BDC"/>
    <w:rsid w:val="00DE086A"/>
    <w:rsid w:val="00DE16BA"/>
    <w:rsid w:val="00DE2268"/>
    <w:rsid w:val="00DE394A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08CA"/>
    <w:rsid w:val="00E132E6"/>
    <w:rsid w:val="00E21AE1"/>
    <w:rsid w:val="00E22DD1"/>
    <w:rsid w:val="00E250AA"/>
    <w:rsid w:val="00E302C4"/>
    <w:rsid w:val="00E318C9"/>
    <w:rsid w:val="00E31F8C"/>
    <w:rsid w:val="00E3381F"/>
    <w:rsid w:val="00E33FB3"/>
    <w:rsid w:val="00E34181"/>
    <w:rsid w:val="00E3486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2077"/>
    <w:rsid w:val="00E54BEE"/>
    <w:rsid w:val="00E5715D"/>
    <w:rsid w:val="00E578C4"/>
    <w:rsid w:val="00E6481D"/>
    <w:rsid w:val="00E64AEC"/>
    <w:rsid w:val="00E65D35"/>
    <w:rsid w:val="00E72019"/>
    <w:rsid w:val="00E72902"/>
    <w:rsid w:val="00E739D4"/>
    <w:rsid w:val="00E75C80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B78EB"/>
    <w:rsid w:val="00EC22D0"/>
    <w:rsid w:val="00EC23F2"/>
    <w:rsid w:val="00EC414E"/>
    <w:rsid w:val="00EC789A"/>
    <w:rsid w:val="00ED0B05"/>
    <w:rsid w:val="00ED1F9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0BFA"/>
    <w:rsid w:val="00F4138C"/>
    <w:rsid w:val="00F41BD7"/>
    <w:rsid w:val="00F41EBA"/>
    <w:rsid w:val="00F43485"/>
    <w:rsid w:val="00F4702E"/>
    <w:rsid w:val="00F47C51"/>
    <w:rsid w:val="00F51A3F"/>
    <w:rsid w:val="00F52A47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2277</c:v>
                </c:pt>
                <c:pt idx="1">
                  <c:v>2295</c:v>
                </c:pt>
                <c:pt idx="2">
                  <c:v>2762</c:v>
                </c:pt>
                <c:pt idx="3">
                  <c:v>2816</c:v>
                </c:pt>
                <c:pt idx="4">
                  <c:v>3054</c:v>
                </c:pt>
                <c:pt idx="5">
                  <c:v>2792</c:v>
                </c:pt>
                <c:pt idx="6">
                  <c:v>2275</c:v>
                </c:pt>
                <c:pt idx="7">
                  <c:v>2119</c:v>
                </c:pt>
                <c:pt idx="8">
                  <c:v>1833</c:v>
                </c:pt>
                <c:pt idx="9">
                  <c:v>2055</c:v>
                </c:pt>
                <c:pt idx="10">
                  <c:v>2018</c:v>
                </c:pt>
                <c:pt idx="11">
                  <c:v>2297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AD-44BD-8999-6F93567C3DAB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1537</c:v>
                </c:pt>
                <c:pt idx="1">
                  <c:v>1519</c:v>
                </c:pt>
                <c:pt idx="2">
                  <c:v>1421</c:v>
                </c:pt>
                <c:pt idx="3">
                  <c:v>1424</c:v>
                </c:pt>
                <c:pt idx="4">
                  <c:v>1178</c:v>
                </c:pt>
                <c:pt idx="5">
                  <c:v>971</c:v>
                </c:pt>
                <c:pt idx="6">
                  <c:v>804</c:v>
                </c:pt>
                <c:pt idx="7">
                  <c:v>965</c:v>
                </c:pt>
                <c:pt idx="8">
                  <c:v>1181</c:v>
                </c:pt>
                <c:pt idx="9">
                  <c:v>1319</c:v>
                </c:pt>
                <c:pt idx="10">
                  <c:v>1563</c:v>
                </c:pt>
                <c:pt idx="11">
                  <c:v>1613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AD-44BD-8999-6F93567C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2.6</c:v>
                </c:pt>
                <c:pt idx="1">
                  <c:v>2.6</c:v>
                </c:pt>
                <c:pt idx="2">
                  <c:v>2.9</c:v>
                </c:pt>
                <c:pt idx="3">
                  <c:v>3.1</c:v>
                </c:pt>
                <c:pt idx="4">
                  <c:v>3.1</c:v>
                </c:pt>
                <c:pt idx="5">
                  <c:v>2.8</c:v>
                </c:pt>
                <c:pt idx="6">
                  <c:v>2.2999999999999998</c:v>
                </c:pt>
                <c:pt idx="7">
                  <c:v>2.2999999999999998</c:v>
                </c:pt>
                <c:pt idx="8">
                  <c:v>2.2000000000000002</c:v>
                </c:pt>
                <c:pt idx="9">
                  <c:v>2.5</c:v>
                </c:pt>
                <c:pt idx="10">
                  <c:v>2.6</c:v>
                </c:pt>
                <c:pt idx="11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7AD-44BD-8999-6F93567C3DAB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</c:v>
                </c:pt>
                <c:pt idx="1">
                  <c:v>1.1000000000000001</c:v>
                </c:pt>
                <c:pt idx="2">
                  <c:v>1.4</c:v>
                </c:pt>
                <c:pt idx="3">
                  <c:v>1.4</c:v>
                </c:pt>
                <c:pt idx="4">
                  <c:v>1.6</c:v>
                </c:pt>
                <c:pt idx="5">
                  <c:v>1.4</c:v>
                </c:pt>
                <c:pt idx="6">
                  <c:v>0.8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 formatCode="General">
                  <c:v>0.9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7AD-44BD-8999-6F93567C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Data'!$P$150:$P$161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</c:v>
                </c:pt>
                <c:pt idx="11">
                  <c:v>May</c:v>
                </c:pt>
              </c:strCache>
            </c:strRef>
          </c:cat>
          <c:val>
            <c:numRef>
              <c:f>'Monthly Stats Data'!$Q$150:$Q$161</c:f>
              <c:numCache>
                <c:formatCode>_(* #,##0_);_(* \(#,##0\);_(* "-"??_);_(@_)</c:formatCode>
                <c:ptCount val="12"/>
                <c:pt idx="0">
                  <c:v>3814</c:v>
                </c:pt>
                <c:pt idx="1">
                  <c:v>3814</c:v>
                </c:pt>
                <c:pt idx="2">
                  <c:v>4183</c:v>
                </c:pt>
                <c:pt idx="3">
                  <c:v>4240</c:v>
                </c:pt>
                <c:pt idx="4">
                  <c:v>4232</c:v>
                </c:pt>
                <c:pt idx="5">
                  <c:v>3763</c:v>
                </c:pt>
                <c:pt idx="6">
                  <c:v>3079</c:v>
                </c:pt>
                <c:pt idx="7">
                  <c:v>3084</c:v>
                </c:pt>
                <c:pt idx="8">
                  <c:v>3014</c:v>
                </c:pt>
                <c:pt idx="9">
                  <c:v>3374</c:v>
                </c:pt>
                <c:pt idx="10">
                  <c:v>3581</c:v>
                </c:pt>
                <c:pt idx="11">
                  <c:v>3910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2F-4CF6-B2CB-88FEDAA6DBCB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Data'!$P$150:$P$161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</c:v>
                </c:pt>
                <c:pt idx="11">
                  <c:v>May</c:v>
                </c:pt>
              </c:strCache>
            </c:strRef>
          </c:cat>
          <c:val>
            <c:numRef>
              <c:f>'Monthly Stats Data'!$T$150:$T$161</c:f>
              <c:numCache>
                <c:formatCode>_(* #,##0_);_(* \(#,##0\);_(* "-"??_);_(@_)</c:formatCode>
                <c:ptCount val="12"/>
                <c:pt idx="0">
                  <c:v>5150</c:v>
                </c:pt>
                <c:pt idx="1">
                  <c:v>4900</c:v>
                </c:pt>
                <c:pt idx="2">
                  <c:v>4340</c:v>
                </c:pt>
                <c:pt idx="3">
                  <c:v>4090</c:v>
                </c:pt>
                <c:pt idx="4">
                  <c:v>3925</c:v>
                </c:pt>
                <c:pt idx="5">
                  <c:v>4425</c:v>
                </c:pt>
                <c:pt idx="6">
                  <c:v>5100</c:v>
                </c:pt>
                <c:pt idx="7">
                  <c:v>5025</c:v>
                </c:pt>
                <c:pt idx="8">
                  <c:v>5110</c:v>
                </c:pt>
                <c:pt idx="9">
                  <c:v>4800</c:v>
                </c:pt>
                <c:pt idx="10">
                  <c:v>4625</c:v>
                </c:pt>
                <c:pt idx="11">
                  <c:v>4415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2F-4CF6-B2CB-88FEDAA6D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2</cp:revision>
  <cp:lastPrinted>2024-06-11T16:02:00Z</cp:lastPrinted>
  <dcterms:created xsi:type="dcterms:W3CDTF">2024-06-11T16:52:00Z</dcterms:created>
  <dcterms:modified xsi:type="dcterms:W3CDTF">2024-06-11T16:52:00Z</dcterms:modified>
</cp:coreProperties>
</file>