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F0" w:rsidRDefault="001F5CBD" w:rsidP="001F5CBD">
      <w:pPr>
        <w:jc w:val="center"/>
        <w:rPr>
          <w:sz w:val="24"/>
          <w:szCs w:val="24"/>
        </w:rPr>
      </w:pPr>
      <w:bookmarkStart w:id="0" w:name="_MailOriginal"/>
      <w:r>
        <w:rPr>
          <w:noProof/>
          <w:sz w:val="24"/>
          <w:szCs w:val="24"/>
        </w:rPr>
        <w:drawing>
          <wp:anchor distT="0" distB="0" distL="114300" distR="114300" simplePos="0" relativeHeight="251667456" behindDoc="0" locked="0" layoutInCell="1" allowOverlap="1">
            <wp:simplePos x="0" y="0"/>
            <wp:positionH relativeFrom="column">
              <wp:posOffset>4257040</wp:posOffset>
            </wp:positionH>
            <wp:positionV relativeFrom="paragraph">
              <wp:posOffset>0</wp:posOffset>
            </wp:positionV>
            <wp:extent cx="2164715" cy="1000125"/>
            <wp:effectExtent l="0" t="0" r="698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MAR Logo.gif"/>
                    <pic:cNvPicPr/>
                  </pic:nvPicPr>
                  <pic:blipFill>
                    <a:blip r:embed="rId5">
                      <a:extLst>
                        <a:ext uri="{28A0092B-C50C-407E-A947-70E740481C1C}">
                          <a14:useLocalDpi xmlns:a14="http://schemas.microsoft.com/office/drawing/2010/main" val="0"/>
                        </a:ext>
                      </a:extLst>
                    </a:blip>
                    <a:stretch>
                      <a:fillRect/>
                    </a:stretch>
                  </pic:blipFill>
                  <pic:spPr>
                    <a:xfrm>
                      <a:off x="0" y="0"/>
                      <a:ext cx="2164715" cy="100012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2543175</wp:posOffset>
                </wp:positionH>
                <wp:positionV relativeFrom="paragraph">
                  <wp:posOffset>-419100</wp:posOffset>
                </wp:positionV>
                <wp:extent cx="1552575" cy="1647825"/>
                <wp:effectExtent l="19050" t="0" r="47625" b="28575"/>
                <wp:wrapNone/>
                <wp:docPr id="10" name="Chevron 10"/>
                <wp:cNvGraphicFramePr/>
                <a:graphic xmlns:a="http://schemas.openxmlformats.org/drawingml/2006/main">
                  <a:graphicData uri="http://schemas.microsoft.com/office/word/2010/wordprocessingShape">
                    <wps:wsp>
                      <wps:cNvSpPr/>
                      <wps:spPr>
                        <a:xfrm>
                          <a:off x="0" y="0"/>
                          <a:ext cx="1552575" cy="1647825"/>
                        </a:xfrm>
                        <a:prstGeom prst="chevron">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9E22D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6" type="#_x0000_t55" style="position:absolute;margin-left:200.25pt;margin-top:-33pt;width:122.25pt;height:12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" adj="10800" fillcolor="#1f4d78 [1604]" strokecolor="#1f4d78 [1604]" strokeweight="1pt"/>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-876300</wp:posOffset>
                </wp:positionH>
                <wp:positionV relativeFrom="paragraph">
                  <wp:posOffset>-428625</wp:posOffset>
                </wp:positionV>
                <wp:extent cx="3924300" cy="1647825"/>
                <wp:effectExtent l="0" t="0" r="38100" b="28575"/>
                <wp:wrapNone/>
                <wp:docPr id="9" name="Pentagon 9"/>
                <wp:cNvGraphicFramePr/>
                <a:graphic xmlns:a="http://schemas.openxmlformats.org/drawingml/2006/main">
                  <a:graphicData uri="http://schemas.microsoft.com/office/word/2010/wordprocessingShape">
                    <wps:wsp>
                      <wps:cNvSpPr/>
                      <wps:spPr>
                        <a:xfrm>
                          <a:off x="0" y="0"/>
                          <a:ext cx="3924300" cy="1647825"/>
                        </a:xfrm>
                        <a:prstGeom prst="homePlat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F5CBD" w:rsidRPr="00A66F2A" w:rsidRDefault="001F5CBD" w:rsidP="001F5CBD">
                            <w:pPr>
                              <w:ind w:right="480" w:firstLine="720"/>
                              <w:rPr>
                                <w:b/>
                                <w:sz w:val="26"/>
                                <w:szCs w:val="26"/>
                              </w:rPr>
                            </w:pPr>
                            <w:r w:rsidRPr="00A66F2A">
                              <w:rPr>
                                <w:b/>
                                <w:sz w:val="26"/>
                                <w:szCs w:val="26"/>
                              </w:rPr>
                              <w:t>For Immediate Release</w:t>
                            </w:r>
                          </w:p>
                          <w:p w:rsidR="001F5CBD" w:rsidRPr="00A66F2A" w:rsidRDefault="001F5CBD" w:rsidP="001F5CBD">
                            <w:pPr>
                              <w:ind w:right="480" w:firstLine="720"/>
                              <w:rPr>
                                <w:sz w:val="26"/>
                                <w:szCs w:val="26"/>
                              </w:rPr>
                            </w:pPr>
                            <w:r w:rsidRPr="00A66F2A">
                              <w:rPr>
                                <w:sz w:val="26"/>
                                <w:szCs w:val="26"/>
                              </w:rPr>
                              <w:t>Contact:  Mike Ruzicka</w:t>
                            </w:r>
                          </w:p>
                          <w:p w:rsidR="001F5CBD" w:rsidRPr="00A66F2A" w:rsidRDefault="001F5CBD" w:rsidP="001F5CBD">
                            <w:pPr>
                              <w:ind w:right="480" w:firstLine="720"/>
                              <w:rPr>
                                <w:sz w:val="26"/>
                                <w:szCs w:val="26"/>
                              </w:rPr>
                            </w:pPr>
                            <w:r w:rsidRPr="00A66F2A">
                              <w:rPr>
                                <w:sz w:val="26"/>
                                <w:szCs w:val="26"/>
                              </w:rPr>
                              <w:t>414.778.4929 or 414.870.1876</w:t>
                            </w:r>
                          </w:p>
                          <w:p w:rsidR="001F5CBD" w:rsidRPr="001F5CBD" w:rsidRDefault="00F34C38" w:rsidP="001F5CBD">
                            <w:pPr>
                              <w:ind w:firstLine="720"/>
                              <w:rPr>
                                <w:color w:val="FFFFFF" w:themeColor="background1"/>
                              </w:rPr>
                            </w:pPr>
                            <w:hyperlink r:id="rId6" w:history="1">
                              <w:r w:rsidR="001F5CBD" w:rsidRPr="00A66F2A">
                                <w:rPr>
                                  <w:rStyle w:val="Hyperlink"/>
                                  <w:color w:val="FFFFFF" w:themeColor="background1"/>
                                  <w:sz w:val="26"/>
                                  <w:szCs w:val="26"/>
                                </w:rPr>
                                <w:t>mike@gmar.ws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26" type="#_x0000_t15" style="position:absolute;left:0;text-align:left;margin-left:-69pt;margin-top:-33.75pt;width:309pt;height:12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" adj="17065" fillcolor="#1f4d78 [1604]" strokecolor="#1f4d78 [1604]" strokeweight="1pt">
                <v:textbox>
                  <w:txbxContent>
                    <w:p w:rsidR="001F5CBD" w:rsidRPr="00A66F2A" w:rsidRDefault="001F5CBD" w:rsidP="001F5CBD">
                      <w:pPr>
                        <w:ind w:right="480" w:firstLine="720"/>
                        <w:rPr>
                          <w:b/>
                          <w:sz w:val="26"/>
                          <w:szCs w:val="26"/>
                        </w:rPr>
                      </w:pPr>
                      <w:r w:rsidRPr="00A66F2A">
                        <w:rPr>
                          <w:b/>
                          <w:sz w:val="26"/>
                          <w:szCs w:val="26"/>
                        </w:rPr>
                        <w:t>For Immediate Release</w:t>
                      </w:r>
                    </w:p>
                    <w:p w:rsidR="001F5CBD" w:rsidRPr="00A66F2A" w:rsidRDefault="001F5CBD" w:rsidP="001F5CBD">
                      <w:pPr>
                        <w:ind w:right="480" w:firstLine="720"/>
                        <w:rPr>
                          <w:sz w:val="26"/>
                          <w:szCs w:val="26"/>
                        </w:rPr>
                      </w:pPr>
                      <w:r w:rsidRPr="00A66F2A">
                        <w:rPr>
                          <w:sz w:val="26"/>
                          <w:szCs w:val="26"/>
                        </w:rPr>
                        <w:t>Contact:  Mike Ruzicka</w:t>
                      </w:r>
                    </w:p>
                    <w:p w:rsidR="001F5CBD" w:rsidRPr="00A66F2A" w:rsidRDefault="001F5CBD" w:rsidP="001F5CBD">
                      <w:pPr>
                        <w:ind w:right="480" w:firstLine="720"/>
                        <w:rPr>
                          <w:sz w:val="26"/>
                          <w:szCs w:val="26"/>
                        </w:rPr>
                      </w:pPr>
                      <w:r w:rsidRPr="00A66F2A">
                        <w:rPr>
                          <w:sz w:val="26"/>
                          <w:szCs w:val="26"/>
                        </w:rPr>
                        <w:t>414.778.4929 or 414.870.1876</w:t>
                      </w:r>
                    </w:p>
                    <w:p w:rsidR="001F5CBD" w:rsidRPr="001F5CBD" w:rsidRDefault="00F34C38" w:rsidP="001F5CBD">
                      <w:pPr>
                        <w:ind w:firstLine="720"/>
                        <w:rPr>
                          <w:color w:val="FFFFFF" w:themeColor="background1"/>
                        </w:rPr>
                      </w:pPr>
                      <w:hyperlink r:id="rId7" w:history="1">
                        <w:r w:rsidR="001F5CBD" w:rsidRPr="00A66F2A">
                          <w:rPr>
                            <w:rStyle w:val="Hyperlink"/>
                            <w:color w:val="FFFFFF" w:themeColor="background1"/>
                            <w:sz w:val="26"/>
                            <w:szCs w:val="26"/>
                          </w:rPr>
                          <w:t>mike@gmar.ws</w:t>
                        </w:r>
                      </w:hyperlink>
                    </w:p>
                  </w:txbxContent>
                </v:textbox>
              </v:shape>
            </w:pict>
          </mc:Fallback>
        </mc:AlternateContent>
      </w:r>
      <w:r w:rsidR="00127EF0">
        <w:rPr>
          <w:sz w:val="24"/>
          <w:szCs w:val="24"/>
        </w:rPr>
        <w:t xml:space="preserve"> </w:t>
      </w:r>
    </w:p>
    <w:p w:rsidR="00127EF0" w:rsidRDefault="00127EF0" w:rsidP="00127EF0">
      <w:pPr>
        <w:rPr>
          <w:sz w:val="24"/>
          <w:szCs w:val="24"/>
        </w:rPr>
      </w:pPr>
    </w:p>
    <w:p w:rsidR="00127EF0" w:rsidRDefault="00127EF0" w:rsidP="00127EF0">
      <w:pPr>
        <w:rPr>
          <w:sz w:val="24"/>
          <w:szCs w:val="24"/>
        </w:rPr>
      </w:pPr>
    </w:p>
    <w:p w:rsidR="00127EF0" w:rsidRDefault="00127EF0" w:rsidP="00127EF0">
      <w:pPr>
        <w:jc w:val="center"/>
        <w:rPr>
          <w:rFonts w:eastAsia="Times New Roman"/>
          <w:b/>
          <w:bCs/>
          <w:sz w:val="24"/>
          <w:szCs w:val="24"/>
        </w:rPr>
      </w:pPr>
    </w:p>
    <w:p w:rsidR="001F5CBD" w:rsidRDefault="001F5CBD" w:rsidP="00127EF0">
      <w:pPr>
        <w:spacing w:before="120" w:after="120"/>
        <w:ind w:left="-360" w:right="-360"/>
        <w:contextualSpacing/>
        <w:jc w:val="center"/>
        <w:rPr>
          <w:rFonts w:ascii="Arial Narrow" w:hAnsi="Arial Narrow"/>
          <w:b/>
          <w:bCs/>
          <w:sz w:val="56"/>
          <w:szCs w:val="56"/>
        </w:rPr>
      </w:pPr>
    </w:p>
    <w:p w:rsidR="001F5CBD" w:rsidRDefault="001F5CBD" w:rsidP="001F5CBD">
      <w:pPr>
        <w:spacing w:before="120" w:after="120"/>
        <w:ind w:left="-360" w:right="-360"/>
        <w:contextualSpacing/>
        <w:jc w:val="center"/>
        <w:rPr>
          <w:rFonts w:ascii="Arial Narrow" w:hAnsi="Arial Narrow"/>
          <w:b/>
          <w:bCs/>
          <w:sz w:val="56"/>
          <w:szCs w:val="56"/>
        </w:rPr>
      </w:pPr>
    </w:p>
    <w:p w:rsidR="00127EF0" w:rsidRPr="001F5CBD" w:rsidRDefault="00366609" w:rsidP="001F5CBD">
      <w:pPr>
        <w:spacing w:before="120" w:after="120"/>
        <w:ind w:left="-360" w:right="-360"/>
        <w:contextualSpacing/>
        <w:jc w:val="center"/>
        <w:rPr>
          <w:rFonts w:ascii="Arial Narrow" w:hAnsi="Arial Narrow"/>
          <w:b/>
          <w:bCs/>
          <w:sz w:val="72"/>
          <w:szCs w:val="72"/>
        </w:rPr>
      </w:pPr>
      <w:r>
        <w:rPr>
          <w:rFonts w:ascii="Arial Narrow" w:hAnsi="Arial Narrow"/>
          <w:b/>
          <w:bCs/>
          <w:sz w:val="72"/>
          <w:szCs w:val="72"/>
        </w:rPr>
        <w:t>January</w:t>
      </w:r>
      <w:r w:rsidR="00127EF0" w:rsidRPr="001F5CBD">
        <w:rPr>
          <w:rFonts w:ascii="Arial Narrow" w:hAnsi="Arial Narrow"/>
          <w:b/>
          <w:bCs/>
          <w:sz w:val="72"/>
          <w:szCs w:val="72"/>
        </w:rPr>
        <w:t xml:space="preserve"> Home Sales </w:t>
      </w:r>
      <w:r w:rsidR="00E56F12">
        <w:rPr>
          <w:rFonts w:ascii="Arial Narrow" w:hAnsi="Arial Narrow"/>
          <w:b/>
          <w:bCs/>
          <w:sz w:val="72"/>
          <w:szCs w:val="72"/>
        </w:rPr>
        <w:t>Down</w:t>
      </w:r>
      <w:r w:rsidR="00D01D6F">
        <w:rPr>
          <w:rFonts w:ascii="Arial Narrow" w:hAnsi="Arial Narrow"/>
          <w:b/>
          <w:bCs/>
          <w:sz w:val="72"/>
          <w:szCs w:val="72"/>
        </w:rPr>
        <w:t xml:space="preserve"> </w:t>
      </w:r>
      <w:r w:rsidR="007E478A">
        <w:rPr>
          <w:rFonts w:ascii="Arial Narrow" w:hAnsi="Arial Narrow"/>
          <w:b/>
          <w:bCs/>
          <w:sz w:val="72"/>
          <w:szCs w:val="72"/>
        </w:rPr>
        <w:t>3.5</w:t>
      </w:r>
      <w:r w:rsidR="00127EF0" w:rsidRPr="001F5CBD">
        <w:rPr>
          <w:rFonts w:ascii="Arial Narrow" w:hAnsi="Arial Narrow"/>
          <w:b/>
          <w:bCs/>
          <w:sz w:val="72"/>
          <w:szCs w:val="72"/>
        </w:rPr>
        <w:t>%</w:t>
      </w:r>
    </w:p>
    <w:p w:rsidR="00127EF0" w:rsidRPr="00E302C4" w:rsidRDefault="00127EF0" w:rsidP="00E302C4">
      <w:pPr>
        <w:ind w:left="-360" w:right="-360"/>
        <w:jc w:val="center"/>
        <w:rPr>
          <w:rFonts w:eastAsia="Times New Roman"/>
          <w:b/>
          <w:bCs/>
          <w:sz w:val="24"/>
          <w:szCs w:val="24"/>
        </w:rPr>
      </w:pPr>
    </w:p>
    <w:tbl>
      <w:tblPr>
        <w:tblStyle w:val="TableGrid"/>
        <w:tblpPr w:leftFromText="180" w:rightFromText="180" w:vertAnchor="text" w:horzAnchor="margin" w:tblpX="-360"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770"/>
      </w:tblGrid>
      <w:tr w:rsidR="00E302C4" w:rsidTr="00501774">
        <w:trPr>
          <w:trHeight w:val="443"/>
        </w:trPr>
        <w:tc>
          <w:tcPr>
            <w:tcW w:w="4770" w:type="dxa"/>
            <w:vAlign w:val="center"/>
          </w:tcPr>
          <w:p w:rsidR="00E302C4" w:rsidRPr="00E302C4" w:rsidRDefault="00E302C4" w:rsidP="00E302C4">
            <w:pPr>
              <w:spacing w:before="120" w:after="120"/>
              <w:ind w:left="-115" w:right="-360"/>
              <w:contextualSpacing/>
              <w:rPr>
                <w:rFonts w:ascii="Arial Narrow" w:hAnsi="Arial Narrow"/>
                <w:sz w:val="24"/>
                <w:szCs w:val="24"/>
              </w:rPr>
            </w:pPr>
            <w:r w:rsidRPr="00E302C4">
              <w:rPr>
                <w:rFonts w:ascii="Arial Narrow" w:hAnsi="Arial Narrow"/>
                <w:b/>
                <w:bCs/>
                <w:sz w:val="24"/>
                <w:szCs w:val="24"/>
              </w:rPr>
              <w:t>Market Highlights</w:t>
            </w:r>
          </w:p>
        </w:tc>
      </w:tr>
      <w:tr w:rsidR="00E302C4" w:rsidTr="00501774">
        <w:trPr>
          <w:trHeight w:hRule="exact" w:val="360"/>
        </w:trPr>
        <w:tc>
          <w:tcPr>
            <w:tcW w:w="4770" w:type="dxa"/>
            <w:shd w:val="clear" w:color="auto" w:fill="DEEAF6" w:themeFill="accent1" w:themeFillTint="33"/>
            <w:vAlign w:val="center"/>
          </w:tcPr>
          <w:p w:rsidR="00E302C4" w:rsidRPr="00577F84" w:rsidRDefault="00501774" w:rsidP="007E478A">
            <w:pPr>
              <w:pStyle w:val="ListParagraph"/>
              <w:numPr>
                <w:ilvl w:val="0"/>
                <w:numId w:val="3"/>
              </w:numPr>
              <w:spacing w:after="120"/>
              <w:ind w:left="240" w:right="-360" w:hanging="240"/>
              <w:rPr>
                <w:sz w:val="24"/>
                <w:szCs w:val="24"/>
              </w:rPr>
            </w:pPr>
            <w:r>
              <w:rPr>
                <w:sz w:val="24"/>
                <w:szCs w:val="24"/>
              </w:rPr>
              <w:t xml:space="preserve">Sales </w:t>
            </w:r>
            <w:r w:rsidR="007E478A">
              <w:rPr>
                <w:sz w:val="24"/>
                <w:szCs w:val="24"/>
              </w:rPr>
              <w:t>Typically Low in January</w:t>
            </w:r>
          </w:p>
        </w:tc>
      </w:tr>
      <w:tr w:rsidR="00E302C4" w:rsidTr="00501774">
        <w:trPr>
          <w:trHeight w:hRule="exact" w:val="360"/>
        </w:trPr>
        <w:tc>
          <w:tcPr>
            <w:tcW w:w="4770" w:type="dxa"/>
            <w:shd w:val="clear" w:color="auto" w:fill="DEEAF6" w:themeFill="accent1" w:themeFillTint="33"/>
            <w:vAlign w:val="center"/>
          </w:tcPr>
          <w:p w:rsidR="00E302C4" w:rsidRPr="00577F84" w:rsidRDefault="000D45BC" w:rsidP="00E93F72">
            <w:pPr>
              <w:pStyle w:val="ListParagraph"/>
              <w:numPr>
                <w:ilvl w:val="0"/>
                <w:numId w:val="3"/>
              </w:numPr>
              <w:spacing w:after="120"/>
              <w:ind w:left="240" w:right="-360" w:hanging="240"/>
              <w:rPr>
                <w:sz w:val="24"/>
                <w:szCs w:val="24"/>
              </w:rPr>
            </w:pPr>
            <w:r>
              <w:rPr>
                <w:sz w:val="24"/>
                <w:szCs w:val="24"/>
              </w:rPr>
              <w:t>Listings Up 20% in Waukesha County</w:t>
            </w:r>
          </w:p>
        </w:tc>
      </w:tr>
      <w:tr w:rsidR="00E302C4" w:rsidTr="00501774">
        <w:trPr>
          <w:trHeight w:hRule="exact" w:val="360"/>
        </w:trPr>
        <w:tc>
          <w:tcPr>
            <w:tcW w:w="4770" w:type="dxa"/>
            <w:shd w:val="clear" w:color="auto" w:fill="DEEAF6" w:themeFill="accent1" w:themeFillTint="33"/>
            <w:vAlign w:val="center"/>
          </w:tcPr>
          <w:p w:rsidR="00E302C4" w:rsidRDefault="000D45BC" w:rsidP="000D45BC">
            <w:pPr>
              <w:pStyle w:val="ListParagraph"/>
              <w:numPr>
                <w:ilvl w:val="0"/>
                <w:numId w:val="3"/>
              </w:numPr>
              <w:spacing w:after="120"/>
              <w:ind w:left="240" w:right="-360" w:hanging="240"/>
              <w:rPr>
                <w:sz w:val="24"/>
                <w:szCs w:val="24"/>
              </w:rPr>
            </w:pPr>
            <w:r>
              <w:rPr>
                <w:sz w:val="24"/>
                <w:szCs w:val="24"/>
              </w:rPr>
              <w:t>M</w:t>
            </w:r>
            <w:r w:rsidR="006B1AEE">
              <w:rPr>
                <w:sz w:val="24"/>
                <w:szCs w:val="24"/>
              </w:rPr>
              <w:t xml:space="preserve">ore </w:t>
            </w:r>
            <w:r>
              <w:rPr>
                <w:sz w:val="24"/>
                <w:szCs w:val="24"/>
              </w:rPr>
              <w:t>U</w:t>
            </w:r>
            <w:r w:rsidR="006B1AEE">
              <w:rPr>
                <w:sz w:val="24"/>
                <w:szCs w:val="24"/>
              </w:rPr>
              <w:t xml:space="preserve">nits </w:t>
            </w:r>
            <w:r>
              <w:rPr>
                <w:sz w:val="24"/>
                <w:szCs w:val="24"/>
              </w:rPr>
              <w:t>N</w:t>
            </w:r>
            <w:r w:rsidR="006B1AEE">
              <w:rPr>
                <w:sz w:val="24"/>
                <w:szCs w:val="24"/>
              </w:rPr>
              <w:t xml:space="preserve">eeded, </w:t>
            </w:r>
            <w:r>
              <w:rPr>
                <w:sz w:val="24"/>
                <w:szCs w:val="24"/>
              </w:rPr>
              <w:t>Especially U</w:t>
            </w:r>
            <w:r w:rsidR="006B1AEE">
              <w:rPr>
                <w:sz w:val="24"/>
                <w:szCs w:val="24"/>
              </w:rPr>
              <w:t>nder $300K</w:t>
            </w:r>
          </w:p>
        </w:tc>
      </w:tr>
    </w:tbl>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E302C4" w:rsidRDefault="00E302C4" w:rsidP="001F5CBD">
      <w:pPr>
        <w:spacing w:before="120" w:after="120"/>
        <w:ind w:left="-360" w:right="-360"/>
        <w:contextualSpacing/>
        <w:rPr>
          <w:sz w:val="24"/>
          <w:szCs w:val="24"/>
        </w:rPr>
      </w:pPr>
    </w:p>
    <w:p w:rsidR="00E302C4" w:rsidRDefault="00E302C4" w:rsidP="001F5CBD">
      <w:pPr>
        <w:spacing w:before="120" w:after="120"/>
        <w:ind w:left="-360" w:right="-360"/>
        <w:contextualSpacing/>
        <w:rPr>
          <w:sz w:val="24"/>
          <w:szCs w:val="24"/>
        </w:rPr>
      </w:pPr>
    </w:p>
    <w:p w:rsidR="00637D71" w:rsidRDefault="00366609" w:rsidP="00637D71">
      <w:pPr>
        <w:spacing w:before="120" w:after="120"/>
        <w:ind w:left="-360" w:right="-360"/>
        <w:contextualSpacing/>
        <w:rPr>
          <w:sz w:val="24"/>
          <w:szCs w:val="24"/>
        </w:rPr>
      </w:pPr>
      <w:r>
        <w:rPr>
          <w:sz w:val="24"/>
          <w:szCs w:val="24"/>
        </w:rPr>
        <w:t xml:space="preserve">February </w:t>
      </w:r>
      <w:r w:rsidR="00E56F12">
        <w:rPr>
          <w:sz w:val="24"/>
          <w:szCs w:val="24"/>
        </w:rPr>
        <w:t>1</w:t>
      </w:r>
      <w:r>
        <w:rPr>
          <w:sz w:val="24"/>
          <w:szCs w:val="24"/>
        </w:rPr>
        <w:t>3</w:t>
      </w:r>
      <w:r w:rsidR="00127EF0">
        <w:rPr>
          <w:sz w:val="24"/>
          <w:szCs w:val="24"/>
        </w:rPr>
        <w:t>, 201</w:t>
      </w:r>
      <w:r>
        <w:rPr>
          <w:sz w:val="24"/>
          <w:szCs w:val="24"/>
        </w:rPr>
        <w:t>9</w:t>
      </w:r>
      <w:r w:rsidR="00127EF0">
        <w:rPr>
          <w:sz w:val="24"/>
          <w:szCs w:val="24"/>
        </w:rPr>
        <w:t xml:space="preserve"> – Home sales were </w:t>
      </w:r>
      <w:r w:rsidR="0068075F">
        <w:rPr>
          <w:sz w:val="24"/>
          <w:szCs w:val="24"/>
        </w:rPr>
        <w:t xml:space="preserve">down </w:t>
      </w:r>
      <w:r w:rsidR="007E478A">
        <w:rPr>
          <w:sz w:val="24"/>
          <w:szCs w:val="24"/>
        </w:rPr>
        <w:t>3.5</w:t>
      </w:r>
      <w:r w:rsidR="00036C88">
        <w:rPr>
          <w:sz w:val="24"/>
          <w:szCs w:val="24"/>
        </w:rPr>
        <w:t xml:space="preserve">% </w:t>
      </w:r>
      <w:r w:rsidR="009717AC">
        <w:rPr>
          <w:sz w:val="24"/>
          <w:szCs w:val="24"/>
        </w:rPr>
        <w:t xml:space="preserve">in </w:t>
      </w:r>
      <w:r w:rsidR="007E478A">
        <w:rPr>
          <w:sz w:val="24"/>
          <w:szCs w:val="24"/>
        </w:rPr>
        <w:t>January, continuing a slowdown in sales the Greater Milwaukee marketplace experienced in the latter half of 2018</w:t>
      </w:r>
      <w:r w:rsidR="00F94B2E">
        <w:rPr>
          <w:sz w:val="24"/>
          <w:szCs w:val="24"/>
        </w:rPr>
        <w:t>.</w:t>
      </w:r>
      <w:r w:rsidR="00853C6E">
        <w:rPr>
          <w:sz w:val="24"/>
          <w:szCs w:val="24"/>
        </w:rPr>
        <w:t xml:space="preserve">  </w:t>
      </w:r>
      <w:r w:rsidR="00A2539A">
        <w:rPr>
          <w:sz w:val="24"/>
          <w:szCs w:val="24"/>
        </w:rPr>
        <w:t>The</w:t>
      </w:r>
      <w:r w:rsidR="00F94B2E">
        <w:rPr>
          <w:sz w:val="24"/>
          <w:szCs w:val="24"/>
        </w:rPr>
        <w:t>re were</w:t>
      </w:r>
      <w:r w:rsidR="00A2539A">
        <w:rPr>
          <w:sz w:val="24"/>
          <w:szCs w:val="24"/>
        </w:rPr>
        <w:t xml:space="preserve"> </w:t>
      </w:r>
      <w:r w:rsidR="007E478A">
        <w:rPr>
          <w:sz w:val="24"/>
          <w:szCs w:val="24"/>
        </w:rPr>
        <w:t>1</w:t>
      </w:r>
      <w:r w:rsidR="000F21F9">
        <w:rPr>
          <w:sz w:val="24"/>
          <w:szCs w:val="24"/>
        </w:rPr>
        <w:t>,</w:t>
      </w:r>
      <w:r w:rsidR="007E478A">
        <w:rPr>
          <w:sz w:val="24"/>
          <w:szCs w:val="24"/>
        </w:rPr>
        <w:t>008</w:t>
      </w:r>
      <w:r w:rsidR="00A2539A">
        <w:rPr>
          <w:sz w:val="24"/>
          <w:szCs w:val="24"/>
        </w:rPr>
        <w:t xml:space="preserve"> </w:t>
      </w:r>
      <w:r w:rsidR="00E302C4">
        <w:rPr>
          <w:sz w:val="24"/>
          <w:szCs w:val="24"/>
        </w:rPr>
        <w:t>homes</w:t>
      </w:r>
      <w:r w:rsidR="00A2539A">
        <w:rPr>
          <w:sz w:val="24"/>
          <w:szCs w:val="24"/>
        </w:rPr>
        <w:t xml:space="preserve"> sold </w:t>
      </w:r>
      <w:r w:rsidR="00E302C4">
        <w:rPr>
          <w:sz w:val="24"/>
          <w:szCs w:val="24"/>
        </w:rPr>
        <w:t>in</w:t>
      </w:r>
      <w:r w:rsidR="00A2539A">
        <w:rPr>
          <w:sz w:val="24"/>
          <w:szCs w:val="24"/>
        </w:rPr>
        <w:t xml:space="preserve"> </w:t>
      </w:r>
      <w:r w:rsidR="007E478A">
        <w:rPr>
          <w:sz w:val="24"/>
          <w:szCs w:val="24"/>
        </w:rPr>
        <w:t>January</w:t>
      </w:r>
      <w:r w:rsidR="002C0B6C">
        <w:rPr>
          <w:sz w:val="24"/>
          <w:szCs w:val="24"/>
        </w:rPr>
        <w:t xml:space="preserve">, </w:t>
      </w:r>
      <w:r w:rsidR="00637D71">
        <w:rPr>
          <w:sz w:val="24"/>
          <w:szCs w:val="24"/>
        </w:rPr>
        <w:t>3</w:t>
      </w:r>
      <w:r w:rsidR="007E478A">
        <w:rPr>
          <w:sz w:val="24"/>
          <w:szCs w:val="24"/>
        </w:rPr>
        <w:t>7</w:t>
      </w:r>
      <w:r w:rsidR="00637D71">
        <w:rPr>
          <w:sz w:val="24"/>
          <w:szCs w:val="24"/>
        </w:rPr>
        <w:t xml:space="preserve"> fewer</w:t>
      </w:r>
      <w:r w:rsidR="002C0B6C">
        <w:rPr>
          <w:sz w:val="24"/>
          <w:szCs w:val="24"/>
        </w:rPr>
        <w:t xml:space="preserve"> than </w:t>
      </w:r>
      <w:r w:rsidR="00A2539A">
        <w:rPr>
          <w:sz w:val="24"/>
          <w:szCs w:val="24"/>
        </w:rPr>
        <w:t xml:space="preserve">in </w:t>
      </w:r>
      <w:r w:rsidR="007E478A">
        <w:rPr>
          <w:sz w:val="24"/>
          <w:szCs w:val="24"/>
        </w:rPr>
        <w:t>January</w:t>
      </w:r>
      <w:r w:rsidR="002C0B6C">
        <w:rPr>
          <w:sz w:val="24"/>
          <w:szCs w:val="24"/>
        </w:rPr>
        <w:t xml:space="preserve"> </w:t>
      </w:r>
      <w:r w:rsidR="00A2539A">
        <w:rPr>
          <w:sz w:val="24"/>
          <w:szCs w:val="24"/>
        </w:rPr>
        <w:t>201</w:t>
      </w:r>
      <w:r w:rsidR="000D45BC">
        <w:rPr>
          <w:sz w:val="24"/>
          <w:szCs w:val="24"/>
        </w:rPr>
        <w:t>8</w:t>
      </w:r>
      <w:r w:rsidR="00A2539A">
        <w:rPr>
          <w:sz w:val="24"/>
          <w:szCs w:val="24"/>
        </w:rPr>
        <w:t xml:space="preserve">, when </w:t>
      </w:r>
      <w:r w:rsidR="007E478A">
        <w:rPr>
          <w:sz w:val="24"/>
          <w:szCs w:val="24"/>
        </w:rPr>
        <w:t>1</w:t>
      </w:r>
      <w:r w:rsidR="00036C88">
        <w:rPr>
          <w:sz w:val="24"/>
          <w:szCs w:val="24"/>
        </w:rPr>
        <w:t>,</w:t>
      </w:r>
      <w:r w:rsidR="007E478A">
        <w:rPr>
          <w:sz w:val="24"/>
          <w:szCs w:val="24"/>
        </w:rPr>
        <w:t>0</w:t>
      </w:r>
      <w:r w:rsidR="00637D71">
        <w:rPr>
          <w:sz w:val="24"/>
          <w:szCs w:val="24"/>
        </w:rPr>
        <w:t>4</w:t>
      </w:r>
      <w:r w:rsidR="007E478A">
        <w:rPr>
          <w:sz w:val="24"/>
          <w:szCs w:val="24"/>
        </w:rPr>
        <w:t>5</w:t>
      </w:r>
      <w:r w:rsidR="00A2539A">
        <w:rPr>
          <w:sz w:val="24"/>
          <w:szCs w:val="24"/>
        </w:rPr>
        <w:t xml:space="preserve"> units </w:t>
      </w:r>
      <w:r w:rsidR="00036C88">
        <w:rPr>
          <w:sz w:val="24"/>
          <w:szCs w:val="24"/>
        </w:rPr>
        <w:t xml:space="preserve">were </w:t>
      </w:r>
      <w:r w:rsidR="00A2539A">
        <w:rPr>
          <w:sz w:val="24"/>
          <w:szCs w:val="24"/>
        </w:rPr>
        <w:t>sold.</w:t>
      </w:r>
    </w:p>
    <w:tbl>
      <w:tblPr>
        <w:tblpPr w:leftFromText="180" w:rightFromText="180" w:bottomFromText="115" w:vertAnchor="text" w:horzAnchor="margin" w:tblpX="-360" w:tblpY="194"/>
        <w:tblW w:w="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869"/>
        <w:gridCol w:w="870"/>
        <w:gridCol w:w="1108"/>
        <w:gridCol w:w="339"/>
      </w:tblGrid>
      <w:tr w:rsidR="00036C88" w:rsidRPr="00C41C9C" w:rsidTr="00950F55">
        <w:trPr>
          <w:trHeight w:val="432"/>
        </w:trPr>
        <w:tc>
          <w:tcPr>
            <w:tcW w:w="4896" w:type="dxa"/>
            <w:gridSpan w:val="5"/>
            <w:tcBorders>
              <w:top w:val="nil"/>
              <w:left w:val="nil"/>
              <w:bottom w:val="nil"/>
              <w:right w:val="nil"/>
            </w:tcBorders>
            <w:shd w:val="clear" w:color="auto" w:fill="auto"/>
            <w:tcMar>
              <w:top w:w="0" w:type="dxa"/>
              <w:left w:w="108" w:type="dxa"/>
              <w:bottom w:w="0" w:type="dxa"/>
              <w:right w:w="108" w:type="dxa"/>
            </w:tcMar>
            <w:vAlign w:val="center"/>
            <w:hideMark/>
          </w:tcPr>
          <w:p w:rsidR="00036C88" w:rsidRPr="00754FD0" w:rsidRDefault="007E478A" w:rsidP="00036C88">
            <w:pPr>
              <w:spacing w:line="252" w:lineRule="auto"/>
              <w:ind w:left="-108" w:right="85"/>
              <w:rPr>
                <w:rFonts w:ascii="Arial Narrow" w:hAnsi="Arial Narrow"/>
                <w:b/>
                <w:sz w:val="24"/>
                <w:szCs w:val="24"/>
              </w:rPr>
            </w:pPr>
            <w:r>
              <w:rPr>
                <w:rFonts w:ascii="Arial Narrow" w:hAnsi="Arial Narrow"/>
                <w:b/>
                <w:sz w:val="24"/>
                <w:szCs w:val="24"/>
              </w:rPr>
              <w:t>January</w:t>
            </w:r>
            <w:r w:rsidR="00036C88" w:rsidRPr="00754FD0">
              <w:rPr>
                <w:rFonts w:ascii="Arial Narrow" w:hAnsi="Arial Narrow"/>
                <w:b/>
                <w:sz w:val="24"/>
                <w:szCs w:val="24"/>
              </w:rPr>
              <w:t xml:space="preserve"> Sales</w:t>
            </w:r>
          </w:p>
        </w:tc>
      </w:tr>
      <w:tr w:rsidR="00036C88" w:rsidRPr="00C41C9C" w:rsidTr="00807EDC">
        <w:trPr>
          <w:gridAfter w:val="1"/>
          <w:wAfter w:w="339" w:type="dxa"/>
          <w:trHeight w:val="288"/>
        </w:trPr>
        <w:tc>
          <w:tcPr>
            <w:tcW w:w="1710" w:type="dxa"/>
            <w:tcBorders>
              <w:top w:val="nil"/>
              <w:left w:val="nil"/>
              <w:bottom w:val="nil"/>
              <w:right w:val="single" w:sz="12" w:space="0" w:color="FFFFFF"/>
            </w:tcBorders>
            <w:shd w:val="clear" w:color="auto" w:fill="1F4E79" w:themeFill="accent1" w:themeFillShade="80"/>
            <w:vAlign w:val="center"/>
            <w:hideMark/>
          </w:tcPr>
          <w:p w:rsidR="00036C88" w:rsidRPr="00754FD0" w:rsidRDefault="00036C88" w:rsidP="00807EDC">
            <w:pPr>
              <w:ind w:left="175" w:right="100"/>
              <w:rPr>
                <w:b/>
                <w:color w:val="FFFFFF" w:themeColor="background1"/>
              </w:rPr>
            </w:pPr>
            <w:r w:rsidRPr="00754FD0">
              <w:rPr>
                <w:b/>
                <w:color w:val="FFFFFF" w:themeColor="background1"/>
              </w:rPr>
              <w:t>County</w:t>
            </w:r>
          </w:p>
        </w:tc>
        <w:tc>
          <w:tcPr>
            <w:tcW w:w="869"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036C88" w:rsidRPr="00754FD0" w:rsidRDefault="00036C88" w:rsidP="00AF3EAF">
            <w:pPr>
              <w:spacing w:line="207" w:lineRule="atLeast"/>
              <w:ind w:left="44" w:right="62"/>
              <w:rPr>
                <w:color w:val="FFFFFF" w:themeColor="background1"/>
              </w:rPr>
            </w:pPr>
            <w:r w:rsidRPr="00754FD0">
              <w:rPr>
                <w:color w:val="FFFFFF" w:themeColor="background1"/>
              </w:rPr>
              <w:t>201</w:t>
            </w:r>
            <w:r w:rsidR="00AF3EAF">
              <w:rPr>
                <w:color w:val="FFFFFF" w:themeColor="background1"/>
              </w:rPr>
              <w:t>8</w:t>
            </w:r>
          </w:p>
        </w:tc>
        <w:tc>
          <w:tcPr>
            <w:tcW w:w="870"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036C88" w:rsidRPr="00754FD0" w:rsidRDefault="00036C88" w:rsidP="00AF3EAF">
            <w:pPr>
              <w:spacing w:line="207" w:lineRule="atLeast"/>
              <w:ind w:right="-23"/>
              <w:rPr>
                <w:color w:val="FFFFFF" w:themeColor="background1"/>
              </w:rPr>
            </w:pPr>
            <w:r w:rsidRPr="00754FD0">
              <w:rPr>
                <w:color w:val="FFFFFF" w:themeColor="background1"/>
              </w:rPr>
              <w:t>201</w:t>
            </w:r>
            <w:r w:rsidR="00AF3EAF">
              <w:rPr>
                <w:color w:val="FFFFFF" w:themeColor="background1"/>
              </w:rPr>
              <w:t>9</w:t>
            </w:r>
          </w:p>
        </w:tc>
        <w:tc>
          <w:tcPr>
            <w:tcW w:w="1108" w:type="dxa"/>
            <w:tcBorders>
              <w:top w:val="nil"/>
              <w:left w:val="single" w:sz="12" w:space="0" w:color="FFFFFF"/>
              <w:bottom w:val="nil"/>
              <w:right w:val="nil"/>
            </w:tcBorders>
            <w:shd w:val="clear" w:color="auto" w:fill="1F4E79" w:themeFill="accent1" w:themeFillShade="80"/>
            <w:vAlign w:val="center"/>
          </w:tcPr>
          <w:p w:rsidR="00036C88" w:rsidRPr="00754FD0" w:rsidRDefault="00036C88" w:rsidP="00807EDC">
            <w:pPr>
              <w:ind w:left="89" w:right="90"/>
              <w:jc w:val="center"/>
              <w:rPr>
                <w:color w:val="FFFFFF" w:themeColor="background1"/>
              </w:rPr>
            </w:pPr>
            <w:r w:rsidRPr="00754FD0">
              <w:rPr>
                <w:color w:val="FFFFFF" w:themeColor="background1"/>
              </w:rPr>
              <w:t>% Change</w:t>
            </w:r>
          </w:p>
        </w:tc>
      </w:tr>
      <w:tr w:rsidR="00036C88" w:rsidRPr="00C41C9C" w:rsidTr="00950F55">
        <w:trPr>
          <w:gridAfter w:val="1"/>
          <w:wAfter w:w="339"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036C88" w:rsidRPr="00C41C9C" w:rsidRDefault="00036C88" w:rsidP="00036C88">
            <w:pPr>
              <w:spacing w:line="252" w:lineRule="auto"/>
              <w:ind w:left="62" w:right="100"/>
            </w:pPr>
            <w:r w:rsidRPr="00C41C9C">
              <w:t>Milwaukee</w:t>
            </w:r>
          </w:p>
        </w:tc>
        <w:tc>
          <w:tcPr>
            <w:tcW w:w="869" w:type="dxa"/>
            <w:tcBorders>
              <w:top w:val="nil"/>
              <w:left w:val="nil"/>
              <w:bottom w:val="nil"/>
              <w:right w:val="nil"/>
            </w:tcBorders>
            <w:shd w:val="clear" w:color="auto" w:fill="auto"/>
            <w:tcMar>
              <w:top w:w="0" w:type="dxa"/>
              <w:left w:w="108" w:type="dxa"/>
              <w:bottom w:w="0" w:type="dxa"/>
              <w:right w:w="108" w:type="dxa"/>
            </w:tcMar>
            <w:vAlign w:val="bottom"/>
          </w:tcPr>
          <w:p w:rsidR="00036C88" w:rsidRPr="00C41C9C" w:rsidRDefault="00AF3EAF" w:rsidP="00E56F12">
            <w:pPr>
              <w:spacing w:line="252" w:lineRule="auto"/>
              <w:ind w:left="44" w:right="62"/>
            </w:pPr>
            <w:r>
              <w:t>633</w:t>
            </w:r>
          </w:p>
        </w:tc>
        <w:tc>
          <w:tcPr>
            <w:tcW w:w="870" w:type="dxa"/>
            <w:tcBorders>
              <w:top w:val="nil"/>
              <w:left w:val="nil"/>
              <w:bottom w:val="nil"/>
              <w:right w:val="nil"/>
            </w:tcBorders>
            <w:shd w:val="clear" w:color="auto" w:fill="auto"/>
            <w:tcMar>
              <w:top w:w="0" w:type="dxa"/>
              <w:left w:w="108" w:type="dxa"/>
              <w:bottom w:w="0" w:type="dxa"/>
              <w:right w:w="108" w:type="dxa"/>
            </w:tcMar>
            <w:vAlign w:val="bottom"/>
          </w:tcPr>
          <w:p w:rsidR="00036C88" w:rsidRPr="00C41C9C" w:rsidRDefault="00E56F12" w:rsidP="00E56F12">
            <w:pPr>
              <w:spacing w:line="252" w:lineRule="auto"/>
              <w:ind w:right="-23"/>
            </w:pPr>
            <w:r>
              <w:t>6</w:t>
            </w:r>
            <w:r w:rsidR="00AF3EAF">
              <w:t>22</w:t>
            </w:r>
          </w:p>
        </w:tc>
        <w:tc>
          <w:tcPr>
            <w:tcW w:w="1108" w:type="dxa"/>
            <w:tcBorders>
              <w:top w:val="nil"/>
              <w:left w:val="nil"/>
              <w:bottom w:val="nil"/>
              <w:right w:val="nil"/>
            </w:tcBorders>
            <w:shd w:val="clear" w:color="auto" w:fill="auto"/>
            <w:vAlign w:val="center"/>
          </w:tcPr>
          <w:p w:rsidR="00036C88" w:rsidRPr="00C41C9C" w:rsidRDefault="00AF3EAF" w:rsidP="00AF3EAF">
            <w:pPr>
              <w:spacing w:line="252" w:lineRule="auto"/>
              <w:ind w:right="445"/>
              <w:jc w:val="right"/>
            </w:pPr>
            <w:r>
              <w:t>-</w:t>
            </w:r>
            <w:r w:rsidR="00E56F12">
              <w:t>1</w:t>
            </w:r>
            <w:r w:rsidR="00036C88" w:rsidRPr="00C41C9C">
              <w:t>.</w:t>
            </w:r>
            <w:r>
              <w:t>7</w:t>
            </w:r>
            <w:r w:rsidR="00036C88" w:rsidRPr="00C41C9C">
              <w:t>%</w:t>
            </w:r>
          </w:p>
        </w:tc>
      </w:tr>
      <w:tr w:rsidR="00036C88" w:rsidRPr="00C41C9C" w:rsidTr="00950F55">
        <w:trPr>
          <w:gridAfter w:val="1"/>
          <w:wAfter w:w="339" w:type="dxa"/>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rsidR="00036C88" w:rsidRPr="00C41C9C" w:rsidRDefault="00036C88" w:rsidP="00036C88">
            <w:pPr>
              <w:spacing w:line="252" w:lineRule="auto"/>
              <w:ind w:left="62" w:right="100"/>
            </w:pPr>
            <w:r w:rsidRPr="00C41C9C">
              <w:t>Waukesha</w:t>
            </w: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Pr="00C41C9C" w:rsidRDefault="00AF3EAF" w:rsidP="00E56F12">
            <w:pPr>
              <w:spacing w:line="252" w:lineRule="auto"/>
              <w:ind w:left="44" w:right="62"/>
            </w:pPr>
            <w:r>
              <w:t>257</w:t>
            </w: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Pr="00C41C9C" w:rsidRDefault="00AF3EAF" w:rsidP="00E56F12">
            <w:pPr>
              <w:spacing w:line="252" w:lineRule="auto"/>
              <w:ind w:right="-23"/>
            </w:pPr>
            <w:r>
              <w:t>262</w:t>
            </w:r>
          </w:p>
        </w:tc>
        <w:tc>
          <w:tcPr>
            <w:tcW w:w="1108" w:type="dxa"/>
            <w:tcBorders>
              <w:top w:val="nil"/>
              <w:left w:val="nil"/>
              <w:bottom w:val="nil"/>
              <w:right w:val="nil"/>
            </w:tcBorders>
            <w:shd w:val="clear" w:color="auto" w:fill="DEEAF6" w:themeFill="accent1" w:themeFillTint="33"/>
            <w:vAlign w:val="center"/>
          </w:tcPr>
          <w:p w:rsidR="00036C88" w:rsidRPr="00C41C9C" w:rsidRDefault="00AF3EAF" w:rsidP="00AF3EAF">
            <w:pPr>
              <w:spacing w:line="252" w:lineRule="auto"/>
              <w:ind w:right="445"/>
              <w:jc w:val="right"/>
            </w:pPr>
            <w:r>
              <w:t>1</w:t>
            </w:r>
            <w:r w:rsidR="00E56F12">
              <w:t>.</w:t>
            </w:r>
            <w:r>
              <w:t>9</w:t>
            </w:r>
            <w:r w:rsidR="00036C88" w:rsidRPr="00C41C9C">
              <w:t>%</w:t>
            </w:r>
          </w:p>
        </w:tc>
      </w:tr>
      <w:tr w:rsidR="00036C88" w:rsidRPr="00C41C9C" w:rsidTr="00950F55">
        <w:trPr>
          <w:gridAfter w:val="1"/>
          <w:wAfter w:w="339"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036C88" w:rsidRPr="00C41C9C" w:rsidRDefault="00036C88" w:rsidP="00036C88">
            <w:pPr>
              <w:spacing w:line="252" w:lineRule="auto"/>
              <w:ind w:left="62" w:right="100"/>
            </w:pPr>
            <w:r w:rsidRPr="00C41C9C">
              <w:t>Washington</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036C88" w:rsidRPr="00C41C9C" w:rsidRDefault="00AF3EAF" w:rsidP="00036C88">
            <w:pPr>
              <w:spacing w:line="252" w:lineRule="auto"/>
              <w:ind w:left="44" w:right="62"/>
            </w:pPr>
            <w:r>
              <w:t>98</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036C88" w:rsidRPr="00C41C9C" w:rsidRDefault="00AF3EAF" w:rsidP="00036C88">
            <w:pPr>
              <w:spacing w:line="252" w:lineRule="auto"/>
              <w:ind w:right="-23"/>
            </w:pPr>
            <w:r>
              <w:t>78</w:t>
            </w:r>
          </w:p>
        </w:tc>
        <w:tc>
          <w:tcPr>
            <w:tcW w:w="1108" w:type="dxa"/>
            <w:tcBorders>
              <w:top w:val="nil"/>
              <w:left w:val="nil"/>
              <w:bottom w:val="nil"/>
              <w:right w:val="nil"/>
            </w:tcBorders>
            <w:shd w:val="clear" w:color="auto" w:fill="auto"/>
            <w:vAlign w:val="center"/>
          </w:tcPr>
          <w:p w:rsidR="00036C88" w:rsidRPr="00C41C9C" w:rsidRDefault="00036C88" w:rsidP="00E56F12">
            <w:pPr>
              <w:spacing w:line="252" w:lineRule="auto"/>
              <w:ind w:right="445"/>
              <w:jc w:val="right"/>
            </w:pPr>
            <w:r>
              <w:t>-</w:t>
            </w:r>
            <w:r w:rsidR="00AF3EAF">
              <w:t>20.4</w:t>
            </w:r>
            <w:r w:rsidRPr="00C41C9C">
              <w:t>%</w:t>
            </w:r>
          </w:p>
        </w:tc>
      </w:tr>
      <w:tr w:rsidR="00036C88" w:rsidRPr="00C41C9C" w:rsidTr="00950F55">
        <w:trPr>
          <w:gridAfter w:val="1"/>
          <w:wAfter w:w="339" w:type="dxa"/>
          <w:trHeight w:val="288"/>
        </w:trPr>
        <w:tc>
          <w:tcPr>
            <w:tcW w:w="17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rsidR="00036C88" w:rsidRPr="00C41C9C" w:rsidRDefault="00036C88" w:rsidP="00036C88">
            <w:pPr>
              <w:spacing w:line="252" w:lineRule="auto"/>
              <w:ind w:left="62" w:right="100"/>
            </w:pPr>
            <w:r w:rsidRPr="00C41C9C">
              <w:t>Ozaukee</w:t>
            </w:r>
          </w:p>
        </w:tc>
        <w:tc>
          <w:tcPr>
            <w:tcW w:w="86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036C88" w:rsidRPr="00C41C9C" w:rsidRDefault="00AF3EAF" w:rsidP="00036C88">
            <w:pPr>
              <w:spacing w:line="252" w:lineRule="auto"/>
              <w:ind w:left="44" w:right="62"/>
            </w:pPr>
            <w:r>
              <w:t>57</w:t>
            </w:r>
          </w:p>
        </w:tc>
        <w:tc>
          <w:tcPr>
            <w:tcW w:w="87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036C88" w:rsidRPr="00C41C9C" w:rsidRDefault="00AF3EAF" w:rsidP="00036C88">
            <w:pPr>
              <w:spacing w:line="252" w:lineRule="auto"/>
              <w:ind w:right="-23"/>
            </w:pPr>
            <w:r>
              <w:t>46</w:t>
            </w:r>
          </w:p>
        </w:tc>
        <w:tc>
          <w:tcPr>
            <w:tcW w:w="1108" w:type="dxa"/>
            <w:tcBorders>
              <w:top w:val="nil"/>
              <w:left w:val="nil"/>
              <w:bottom w:val="single" w:sz="4" w:space="0" w:color="auto"/>
              <w:right w:val="nil"/>
            </w:tcBorders>
            <w:shd w:val="clear" w:color="auto" w:fill="DEEAF6" w:themeFill="accent1" w:themeFillTint="33"/>
            <w:vAlign w:val="center"/>
          </w:tcPr>
          <w:p w:rsidR="00036C88" w:rsidRPr="00C41C9C" w:rsidRDefault="00036C88" w:rsidP="00AF3EAF">
            <w:pPr>
              <w:spacing w:line="252" w:lineRule="auto"/>
              <w:ind w:right="445"/>
              <w:jc w:val="right"/>
            </w:pPr>
            <w:r>
              <w:t>-</w:t>
            </w:r>
            <w:r w:rsidR="00AF3EAF">
              <w:t>19</w:t>
            </w:r>
            <w:r>
              <w:t>.</w:t>
            </w:r>
            <w:r w:rsidR="00AF3EAF">
              <w:t>3</w:t>
            </w:r>
            <w:r w:rsidRPr="00C41C9C">
              <w:t>%</w:t>
            </w:r>
          </w:p>
        </w:tc>
      </w:tr>
      <w:tr w:rsidR="00036C88" w:rsidRPr="00C41C9C" w:rsidTr="00950F55">
        <w:trPr>
          <w:gridAfter w:val="1"/>
          <w:wAfter w:w="339" w:type="dxa"/>
          <w:trHeight w:val="288"/>
        </w:trPr>
        <w:tc>
          <w:tcPr>
            <w:tcW w:w="171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rsidR="00036C88" w:rsidRPr="00C41C9C" w:rsidRDefault="00036C88" w:rsidP="00036C88">
            <w:pPr>
              <w:spacing w:line="252" w:lineRule="auto"/>
              <w:ind w:left="62" w:right="100"/>
            </w:pPr>
            <w:r w:rsidRPr="00C41C9C">
              <w:t>4 County Area</w:t>
            </w:r>
          </w:p>
        </w:tc>
        <w:tc>
          <w:tcPr>
            <w:tcW w:w="869"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036C88" w:rsidRPr="00C41C9C" w:rsidRDefault="00AF3EAF" w:rsidP="00AF3EAF">
            <w:pPr>
              <w:spacing w:line="252" w:lineRule="auto"/>
              <w:ind w:left="44" w:right="62"/>
            </w:pPr>
            <w:r>
              <w:t>1</w:t>
            </w:r>
            <w:r w:rsidR="00036C88">
              <w:t>,</w:t>
            </w:r>
            <w:r>
              <w:t>045</w:t>
            </w:r>
          </w:p>
        </w:tc>
        <w:tc>
          <w:tcPr>
            <w:tcW w:w="87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036C88" w:rsidRPr="00C41C9C" w:rsidRDefault="00AF3EAF" w:rsidP="00AF3EAF">
            <w:pPr>
              <w:spacing w:line="252" w:lineRule="auto"/>
              <w:ind w:right="-23"/>
            </w:pPr>
            <w:r>
              <w:t>1</w:t>
            </w:r>
            <w:r w:rsidR="00036C88">
              <w:t>,</w:t>
            </w:r>
            <w:r>
              <w:t>008</w:t>
            </w:r>
          </w:p>
        </w:tc>
        <w:tc>
          <w:tcPr>
            <w:tcW w:w="1108" w:type="dxa"/>
            <w:tcBorders>
              <w:top w:val="single" w:sz="4" w:space="0" w:color="auto"/>
              <w:left w:val="nil"/>
              <w:bottom w:val="nil"/>
              <w:right w:val="nil"/>
            </w:tcBorders>
            <w:shd w:val="clear" w:color="auto" w:fill="auto"/>
            <w:vAlign w:val="center"/>
          </w:tcPr>
          <w:p w:rsidR="00036C88" w:rsidRPr="00C41C9C" w:rsidRDefault="00E56F12" w:rsidP="00AF3EAF">
            <w:pPr>
              <w:spacing w:line="252" w:lineRule="auto"/>
              <w:ind w:right="445"/>
              <w:jc w:val="right"/>
            </w:pPr>
            <w:r>
              <w:t>-</w:t>
            </w:r>
            <w:r w:rsidR="00AF3EAF">
              <w:t>3</w:t>
            </w:r>
            <w:r w:rsidR="00036C88">
              <w:t>.</w:t>
            </w:r>
            <w:r w:rsidR="00AF3EAF">
              <w:t>5</w:t>
            </w:r>
            <w:r w:rsidR="00036C88" w:rsidRPr="00C41C9C">
              <w:t>%</w:t>
            </w:r>
          </w:p>
        </w:tc>
      </w:tr>
      <w:tr w:rsidR="00036C88" w:rsidRPr="00C41C9C" w:rsidTr="00950F55">
        <w:trPr>
          <w:gridAfter w:val="1"/>
          <w:wAfter w:w="339" w:type="dxa"/>
          <w:trHeight w:val="179"/>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Pr="00156337" w:rsidRDefault="00036C88" w:rsidP="00036C88">
            <w:pPr>
              <w:spacing w:line="252" w:lineRule="auto"/>
              <w:ind w:left="62" w:right="100"/>
              <w:rPr>
                <w:sz w:val="10"/>
                <w:szCs w:val="10"/>
              </w:rPr>
            </w:pP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Pr="00156337" w:rsidRDefault="00036C88" w:rsidP="00036C88">
            <w:pPr>
              <w:spacing w:line="252" w:lineRule="auto"/>
              <w:ind w:left="44" w:right="62"/>
              <w:rPr>
                <w:sz w:val="10"/>
                <w:szCs w:val="10"/>
              </w:rPr>
            </w:pP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Pr="00156337" w:rsidRDefault="00036C88" w:rsidP="00036C88">
            <w:pPr>
              <w:spacing w:line="252" w:lineRule="auto"/>
              <w:ind w:right="-23"/>
              <w:rPr>
                <w:sz w:val="10"/>
                <w:szCs w:val="10"/>
              </w:rPr>
            </w:pPr>
          </w:p>
        </w:tc>
        <w:tc>
          <w:tcPr>
            <w:tcW w:w="1108" w:type="dxa"/>
            <w:tcBorders>
              <w:top w:val="nil"/>
              <w:left w:val="nil"/>
              <w:bottom w:val="nil"/>
              <w:right w:val="nil"/>
            </w:tcBorders>
            <w:shd w:val="clear" w:color="auto" w:fill="DEEAF6" w:themeFill="accent1" w:themeFillTint="33"/>
            <w:vAlign w:val="center"/>
          </w:tcPr>
          <w:p w:rsidR="00036C88" w:rsidRPr="00156337" w:rsidRDefault="00036C88" w:rsidP="00036C88">
            <w:pPr>
              <w:spacing w:line="252" w:lineRule="auto"/>
              <w:ind w:right="445"/>
              <w:jc w:val="right"/>
              <w:rPr>
                <w:sz w:val="10"/>
                <w:szCs w:val="10"/>
              </w:rPr>
            </w:pPr>
          </w:p>
        </w:tc>
      </w:tr>
      <w:tr w:rsidR="00036C88" w:rsidRPr="00C41C9C" w:rsidTr="00950F55">
        <w:trPr>
          <w:gridAfter w:val="1"/>
          <w:wAfter w:w="339"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036C88" w:rsidRPr="00C41C9C" w:rsidRDefault="00036C88" w:rsidP="00036C88">
            <w:pPr>
              <w:spacing w:line="252" w:lineRule="auto"/>
              <w:ind w:left="62" w:right="100"/>
            </w:pPr>
            <w:r>
              <w:t>Racine</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036C88" w:rsidRDefault="00AF3EAF" w:rsidP="00036C88">
            <w:pPr>
              <w:spacing w:line="252" w:lineRule="auto"/>
              <w:ind w:left="44" w:right="62"/>
            </w:pPr>
            <w:r>
              <w:t>155</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036C88" w:rsidRDefault="00AF3EAF" w:rsidP="001B00EC">
            <w:pPr>
              <w:spacing w:line="252" w:lineRule="auto"/>
              <w:ind w:right="-23"/>
            </w:pPr>
            <w:r>
              <w:t>162</w:t>
            </w:r>
          </w:p>
        </w:tc>
        <w:tc>
          <w:tcPr>
            <w:tcW w:w="1108" w:type="dxa"/>
            <w:tcBorders>
              <w:top w:val="nil"/>
              <w:left w:val="nil"/>
              <w:bottom w:val="nil"/>
              <w:right w:val="nil"/>
            </w:tcBorders>
            <w:shd w:val="clear" w:color="auto" w:fill="auto"/>
            <w:vAlign w:val="center"/>
          </w:tcPr>
          <w:p w:rsidR="00036C88" w:rsidRDefault="00C37BF8" w:rsidP="00C37BF8">
            <w:pPr>
              <w:spacing w:line="252" w:lineRule="auto"/>
              <w:ind w:right="445"/>
              <w:jc w:val="right"/>
            </w:pPr>
            <w:r>
              <w:t>4</w:t>
            </w:r>
            <w:r w:rsidR="00AF3EAF">
              <w:t>.5</w:t>
            </w:r>
            <w:r w:rsidR="00036C88">
              <w:t>%</w:t>
            </w:r>
          </w:p>
        </w:tc>
      </w:tr>
      <w:tr w:rsidR="00036C88" w:rsidRPr="00C41C9C" w:rsidTr="00950F55">
        <w:trPr>
          <w:gridAfter w:val="1"/>
          <w:wAfter w:w="339" w:type="dxa"/>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Default="00036C88" w:rsidP="00036C88">
            <w:pPr>
              <w:spacing w:line="252" w:lineRule="auto"/>
              <w:ind w:left="62" w:right="100"/>
            </w:pPr>
            <w:r>
              <w:t>Kenosha</w:t>
            </w: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Default="00AF3EAF" w:rsidP="00036C88">
            <w:pPr>
              <w:spacing w:line="252" w:lineRule="auto"/>
              <w:ind w:left="44" w:right="62"/>
            </w:pPr>
            <w:r>
              <w:t>120</w:t>
            </w: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036C88" w:rsidRDefault="00AF3EAF" w:rsidP="00036C88">
            <w:pPr>
              <w:spacing w:line="252" w:lineRule="auto"/>
              <w:ind w:right="-23"/>
            </w:pPr>
            <w:r>
              <w:t>109</w:t>
            </w:r>
          </w:p>
        </w:tc>
        <w:tc>
          <w:tcPr>
            <w:tcW w:w="1108" w:type="dxa"/>
            <w:tcBorders>
              <w:top w:val="nil"/>
              <w:left w:val="nil"/>
              <w:bottom w:val="nil"/>
              <w:right w:val="nil"/>
            </w:tcBorders>
            <w:shd w:val="clear" w:color="auto" w:fill="DEEAF6" w:themeFill="accent1" w:themeFillTint="33"/>
            <w:vAlign w:val="center"/>
          </w:tcPr>
          <w:p w:rsidR="00036C88" w:rsidRDefault="00AF3EAF" w:rsidP="00C37BF8">
            <w:pPr>
              <w:spacing w:line="252" w:lineRule="auto"/>
              <w:ind w:right="445"/>
              <w:jc w:val="right"/>
            </w:pPr>
            <w:r>
              <w:t>-9.2</w:t>
            </w:r>
            <w:r w:rsidR="00036C88">
              <w:t>%</w:t>
            </w:r>
          </w:p>
        </w:tc>
      </w:tr>
      <w:tr w:rsidR="009F10D6" w:rsidRPr="00C41C9C" w:rsidTr="009F10D6">
        <w:trPr>
          <w:gridAfter w:val="1"/>
          <w:wAfter w:w="339"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9F10D6" w:rsidP="00036C88">
            <w:pPr>
              <w:spacing w:line="252" w:lineRule="auto"/>
              <w:ind w:left="62" w:right="100"/>
            </w:pPr>
            <w:r>
              <w:t>Walworth</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AF3EAF" w:rsidP="00036C88">
            <w:pPr>
              <w:spacing w:line="252" w:lineRule="auto"/>
              <w:ind w:left="44" w:right="62"/>
            </w:pPr>
            <w:r>
              <w:t>88</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AF3EAF" w:rsidP="00036C88">
            <w:pPr>
              <w:spacing w:line="252" w:lineRule="auto"/>
              <w:ind w:right="-23"/>
            </w:pPr>
            <w:r>
              <w:t>80</w:t>
            </w:r>
          </w:p>
        </w:tc>
        <w:tc>
          <w:tcPr>
            <w:tcW w:w="1108" w:type="dxa"/>
            <w:tcBorders>
              <w:top w:val="nil"/>
              <w:left w:val="nil"/>
              <w:bottom w:val="nil"/>
              <w:right w:val="nil"/>
            </w:tcBorders>
            <w:shd w:val="clear" w:color="auto" w:fill="auto"/>
            <w:vAlign w:val="center"/>
          </w:tcPr>
          <w:p w:rsidR="009F10D6" w:rsidRDefault="00AF3EAF" w:rsidP="00C37BF8">
            <w:pPr>
              <w:spacing w:line="252" w:lineRule="auto"/>
              <w:ind w:right="445"/>
              <w:jc w:val="right"/>
            </w:pPr>
            <w:r>
              <w:t>-9.1</w:t>
            </w:r>
            <w:r w:rsidR="00EC64B4">
              <w:t>%</w:t>
            </w:r>
          </w:p>
        </w:tc>
      </w:tr>
    </w:tbl>
    <w:p w:rsidR="00637D71" w:rsidRDefault="00637D71" w:rsidP="00A66F2A">
      <w:pPr>
        <w:spacing w:before="120" w:after="120"/>
        <w:ind w:right="-360"/>
        <w:contextualSpacing/>
        <w:rPr>
          <w:sz w:val="24"/>
          <w:szCs w:val="24"/>
        </w:rPr>
      </w:pPr>
    </w:p>
    <w:p w:rsidR="007E478A" w:rsidRDefault="007E478A" w:rsidP="00ED577D">
      <w:pPr>
        <w:spacing w:before="120" w:after="120"/>
        <w:ind w:left="-360" w:right="-360"/>
        <w:contextualSpacing/>
        <w:rPr>
          <w:sz w:val="24"/>
          <w:szCs w:val="24"/>
        </w:rPr>
      </w:pPr>
      <w:r>
        <w:rPr>
          <w:sz w:val="24"/>
          <w:szCs w:val="24"/>
        </w:rPr>
        <w:t>It is difficult to deduce what the market will be like in the future based on January sales. That is because the winter months are historically low sales months</w:t>
      </w:r>
      <w:r w:rsidR="0013524F">
        <w:rPr>
          <w:sz w:val="24"/>
          <w:szCs w:val="24"/>
        </w:rPr>
        <w:t xml:space="preserve">. Out of about 20,000 </w:t>
      </w:r>
      <w:r w:rsidR="000D45BC">
        <w:rPr>
          <w:sz w:val="24"/>
          <w:szCs w:val="24"/>
        </w:rPr>
        <w:t xml:space="preserve">total </w:t>
      </w:r>
      <w:r w:rsidR="0013524F">
        <w:rPr>
          <w:sz w:val="24"/>
          <w:szCs w:val="24"/>
        </w:rPr>
        <w:t>sales in each of the last 3 years, there were between 933 – 1,045 sales in January.</w:t>
      </w:r>
    </w:p>
    <w:p w:rsidR="007E478A" w:rsidRDefault="007E478A" w:rsidP="00ED577D">
      <w:pPr>
        <w:spacing w:before="120" w:after="120"/>
        <w:ind w:left="-360" w:right="-360"/>
        <w:contextualSpacing/>
        <w:rPr>
          <w:sz w:val="24"/>
          <w:szCs w:val="24"/>
        </w:rPr>
      </w:pPr>
    </w:p>
    <w:p w:rsidR="0013524F" w:rsidRDefault="0013524F" w:rsidP="00ED577D">
      <w:pPr>
        <w:spacing w:before="120" w:after="120"/>
        <w:ind w:left="-360" w:right="-360"/>
        <w:contextualSpacing/>
        <w:rPr>
          <w:sz w:val="24"/>
          <w:szCs w:val="24"/>
        </w:rPr>
      </w:pPr>
      <w:r>
        <w:rPr>
          <w:sz w:val="24"/>
          <w:szCs w:val="24"/>
        </w:rPr>
        <w:t xml:space="preserve">Nonetheless, January 2019 was the </w:t>
      </w:r>
      <w:r w:rsidR="007E478A">
        <w:rPr>
          <w:sz w:val="24"/>
          <w:szCs w:val="24"/>
        </w:rPr>
        <w:t>7</w:t>
      </w:r>
      <w:r w:rsidRPr="0013524F">
        <w:rPr>
          <w:sz w:val="24"/>
          <w:szCs w:val="24"/>
          <w:vertAlign w:val="superscript"/>
        </w:rPr>
        <w:t>th</w:t>
      </w:r>
      <w:r>
        <w:rPr>
          <w:sz w:val="24"/>
          <w:szCs w:val="24"/>
        </w:rPr>
        <w:t xml:space="preserve"> month </w:t>
      </w:r>
      <w:r w:rsidR="00F34C38">
        <w:rPr>
          <w:sz w:val="24"/>
          <w:szCs w:val="24"/>
        </w:rPr>
        <w:t xml:space="preserve">out </w:t>
      </w:r>
      <w:r w:rsidR="007E478A">
        <w:rPr>
          <w:sz w:val="24"/>
          <w:szCs w:val="24"/>
        </w:rPr>
        <w:t>o</w:t>
      </w:r>
      <w:r>
        <w:rPr>
          <w:sz w:val="24"/>
          <w:szCs w:val="24"/>
        </w:rPr>
        <w:t>f</w:t>
      </w:r>
      <w:r w:rsidR="007E478A">
        <w:rPr>
          <w:sz w:val="24"/>
          <w:szCs w:val="24"/>
        </w:rPr>
        <w:t xml:space="preserve"> </w:t>
      </w:r>
      <w:r w:rsidR="00F34C38">
        <w:rPr>
          <w:sz w:val="24"/>
          <w:szCs w:val="24"/>
        </w:rPr>
        <w:t xml:space="preserve">the last nine with </w:t>
      </w:r>
      <w:r>
        <w:rPr>
          <w:sz w:val="24"/>
          <w:szCs w:val="24"/>
        </w:rPr>
        <w:t>lower sales, dating back to May 2018.</w:t>
      </w:r>
    </w:p>
    <w:p w:rsidR="0013524F" w:rsidRDefault="0013524F" w:rsidP="00ED577D">
      <w:pPr>
        <w:spacing w:before="120" w:after="120"/>
        <w:ind w:left="-360" w:right="-360"/>
        <w:contextualSpacing/>
        <w:rPr>
          <w:sz w:val="24"/>
          <w:szCs w:val="24"/>
        </w:rPr>
      </w:pPr>
    </w:p>
    <w:p w:rsidR="009F10D6" w:rsidRDefault="0013524F" w:rsidP="00ED577D">
      <w:pPr>
        <w:spacing w:before="120" w:after="120"/>
        <w:ind w:left="-360" w:right="-360"/>
        <w:contextualSpacing/>
        <w:rPr>
          <w:sz w:val="24"/>
          <w:szCs w:val="24"/>
        </w:rPr>
      </w:pPr>
      <w:r>
        <w:rPr>
          <w:sz w:val="24"/>
          <w:szCs w:val="24"/>
        </w:rPr>
        <w:t xml:space="preserve">Brokers are still </w:t>
      </w:r>
      <w:r w:rsidR="00637D71">
        <w:rPr>
          <w:sz w:val="24"/>
          <w:szCs w:val="24"/>
        </w:rPr>
        <w:t>attribut</w:t>
      </w:r>
      <w:r>
        <w:rPr>
          <w:sz w:val="24"/>
          <w:szCs w:val="24"/>
        </w:rPr>
        <w:t>ing</w:t>
      </w:r>
      <w:r w:rsidR="00637D71">
        <w:rPr>
          <w:sz w:val="24"/>
          <w:szCs w:val="24"/>
        </w:rPr>
        <w:t xml:space="preserve"> a lack of affordable inventory</w:t>
      </w:r>
      <w:r>
        <w:rPr>
          <w:sz w:val="24"/>
          <w:szCs w:val="24"/>
        </w:rPr>
        <w:t xml:space="preserve"> </w:t>
      </w:r>
      <w:r w:rsidR="00F34C38">
        <w:rPr>
          <w:sz w:val="24"/>
          <w:szCs w:val="24"/>
        </w:rPr>
        <w:t xml:space="preserve">in late 2018 </w:t>
      </w:r>
      <w:r>
        <w:rPr>
          <w:sz w:val="24"/>
          <w:szCs w:val="24"/>
        </w:rPr>
        <w:t>as a major cause of lower sales</w:t>
      </w:r>
      <w:r w:rsidR="00F34C38">
        <w:rPr>
          <w:sz w:val="24"/>
          <w:szCs w:val="24"/>
        </w:rPr>
        <w:t xml:space="preserve"> in January 2019</w:t>
      </w:r>
      <w:r>
        <w:rPr>
          <w:sz w:val="24"/>
          <w:szCs w:val="24"/>
        </w:rPr>
        <w:t xml:space="preserve">. There are many </w:t>
      </w:r>
      <w:r w:rsidR="00637D71">
        <w:rPr>
          <w:sz w:val="24"/>
          <w:szCs w:val="24"/>
        </w:rPr>
        <w:t>first-time and empty nester buyers looking</w:t>
      </w:r>
      <w:r>
        <w:rPr>
          <w:sz w:val="24"/>
          <w:szCs w:val="24"/>
        </w:rPr>
        <w:t>, but the</w:t>
      </w:r>
      <w:r w:rsidR="00F34C38">
        <w:rPr>
          <w:sz w:val="24"/>
          <w:szCs w:val="24"/>
        </w:rPr>
        <w:t>re</w:t>
      </w:r>
      <w:bookmarkStart w:id="1" w:name="_GoBack"/>
      <w:bookmarkEnd w:id="1"/>
      <w:r>
        <w:rPr>
          <w:sz w:val="24"/>
          <w:szCs w:val="24"/>
        </w:rPr>
        <w:t xml:space="preserve"> simply are not enough </w:t>
      </w:r>
      <w:r w:rsidR="00486BF3">
        <w:rPr>
          <w:sz w:val="24"/>
          <w:szCs w:val="24"/>
        </w:rPr>
        <w:t xml:space="preserve">listings </w:t>
      </w:r>
      <w:r>
        <w:rPr>
          <w:sz w:val="24"/>
          <w:szCs w:val="24"/>
        </w:rPr>
        <w:t>available, particularly</w:t>
      </w:r>
      <w:r w:rsidR="00637D71">
        <w:rPr>
          <w:sz w:val="24"/>
          <w:szCs w:val="24"/>
        </w:rPr>
        <w:t xml:space="preserve"> under $300</w:t>
      </w:r>
      <w:r w:rsidR="009F10D6">
        <w:rPr>
          <w:sz w:val="24"/>
          <w:szCs w:val="24"/>
        </w:rPr>
        <w:t xml:space="preserve">,000. </w:t>
      </w:r>
    </w:p>
    <w:p w:rsidR="009F10D6" w:rsidRDefault="009F10D6" w:rsidP="00ED577D">
      <w:pPr>
        <w:spacing w:before="120" w:after="120"/>
        <w:ind w:left="-360" w:right="-360"/>
        <w:contextualSpacing/>
        <w:rPr>
          <w:sz w:val="24"/>
          <w:szCs w:val="24"/>
        </w:rPr>
      </w:pPr>
    </w:p>
    <w:p w:rsidR="00AF3EAF" w:rsidRDefault="00156337" w:rsidP="00AF3EAF">
      <w:pPr>
        <w:spacing w:before="120" w:after="120"/>
        <w:ind w:left="-360" w:right="-360"/>
        <w:contextualSpacing/>
        <w:rPr>
          <w:sz w:val="24"/>
          <w:szCs w:val="24"/>
        </w:rPr>
      </w:pPr>
      <w:r w:rsidRPr="00156337">
        <w:rPr>
          <w:b/>
          <w:sz w:val="24"/>
          <w:szCs w:val="24"/>
          <w:u w:val="single"/>
        </w:rPr>
        <w:t>Listings</w:t>
      </w:r>
      <w:r w:rsidR="00AF3EAF" w:rsidRPr="00AF3EAF">
        <w:rPr>
          <w:sz w:val="24"/>
          <w:szCs w:val="24"/>
        </w:rPr>
        <w:t xml:space="preserve"> </w:t>
      </w:r>
    </w:p>
    <w:p w:rsidR="00AF3EAF" w:rsidRDefault="00AF3EAF" w:rsidP="00AF3EAF">
      <w:pPr>
        <w:spacing w:before="120" w:after="120"/>
        <w:ind w:left="-360" w:right="-360"/>
        <w:contextualSpacing/>
        <w:rPr>
          <w:sz w:val="24"/>
          <w:szCs w:val="24"/>
        </w:rPr>
      </w:pPr>
      <w:r>
        <w:rPr>
          <w:sz w:val="24"/>
          <w:szCs w:val="24"/>
        </w:rPr>
        <w:t>Another trend continuing from where 2018 left off is an increase in listings, which will hopefully address the deficiency in sales in the months to come. Many homes listed in January will become sales in February and March.</w:t>
      </w:r>
    </w:p>
    <w:p w:rsidR="00AF3EAF" w:rsidRDefault="00AF3EAF" w:rsidP="00AF3EAF">
      <w:pPr>
        <w:spacing w:before="120" w:after="120"/>
        <w:ind w:left="-360" w:right="-360"/>
        <w:contextualSpacing/>
        <w:rPr>
          <w:sz w:val="24"/>
          <w:szCs w:val="24"/>
        </w:rPr>
      </w:pPr>
    </w:p>
    <w:p w:rsidR="000D45BC" w:rsidRDefault="00AF3EAF" w:rsidP="000D45BC">
      <w:pPr>
        <w:spacing w:before="120" w:after="120"/>
        <w:ind w:left="-360" w:right="-360"/>
        <w:contextualSpacing/>
        <w:rPr>
          <w:sz w:val="24"/>
          <w:szCs w:val="24"/>
        </w:rPr>
      </w:pPr>
      <w:r>
        <w:rPr>
          <w:sz w:val="24"/>
          <w:szCs w:val="24"/>
        </w:rPr>
        <w:t xml:space="preserve">The 4-county area saw </w:t>
      </w:r>
      <w:r>
        <w:rPr>
          <w:sz w:val="24"/>
          <w:szCs w:val="24"/>
        </w:rPr>
        <w:t>listings go up 1.9% in January, the 4</w:t>
      </w:r>
      <w:r w:rsidRPr="00AF3EAF">
        <w:rPr>
          <w:sz w:val="24"/>
          <w:szCs w:val="24"/>
          <w:vertAlign w:val="superscript"/>
        </w:rPr>
        <w:t>th</w:t>
      </w:r>
      <w:r>
        <w:rPr>
          <w:sz w:val="24"/>
          <w:szCs w:val="24"/>
        </w:rPr>
        <w:t xml:space="preserve"> month in a row of </w:t>
      </w:r>
      <w:r>
        <w:rPr>
          <w:sz w:val="24"/>
          <w:szCs w:val="24"/>
        </w:rPr>
        <w:t>increase</w:t>
      </w:r>
      <w:r>
        <w:rPr>
          <w:sz w:val="24"/>
          <w:szCs w:val="24"/>
        </w:rPr>
        <w:t>d</w:t>
      </w:r>
      <w:r>
        <w:rPr>
          <w:sz w:val="24"/>
          <w:szCs w:val="24"/>
        </w:rPr>
        <w:t xml:space="preserve"> listings</w:t>
      </w:r>
      <w:r>
        <w:rPr>
          <w:sz w:val="24"/>
          <w:szCs w:val="24"/>
        </w:rPr>
        <w:t>. Waukesha County lead the way with a hefty 20.8% increase.</w:t>
      </w:r>
      <w:r>
        <w:rPr>
          <w:sz w:val="24"/>
          <w:szCs w:val="24"/>
        </w:rPr>
        <w:t xml:space="preserve"> </w:t>
      </w:r>
    </w:p>
    <w:p w:rsidR="000D45BC" w:rsidRDefault="000D45BC" w:rsidP="000D45BC">
      <w:pPr>
        <w:spacing w:before="120" w:after="120"/>
        <w:ind w:left="-360" w:right="-360"/>
        <w:contextualSpacing/>
        <w:rPr>
          <w:sz w:val="24"/>
          <w:szCs w:val="24"/>
        </w:rPr>
      </w:pPr>
    </w:p>
    <w:p w:rsidR="000D45BC" w:rsidRDefault="000D45BC" w:rsidP="000D45BC">
      <w:pPr>
        <w:spacing w:before="120" w:after="120"/>
        <w:ind w:left="-360" w:right="-360"/>
        <w:contextualSpacing/>
        <w:rPr>
          <w:sz w:val="24"/>
          <w:szCs w:val="24"/>
        </w:rPr>
      </w:pPr>
    </w:p>
    <w:p w:rsidR="000F21F9" w:rsidRPr="00AF3EAF" w:rsidRDefault="000F21F9" w:rsidP="00AF3EAF">
      <w:pPr>
        <w:spacing w:before="120" w:after="120"/>
        <w:ind w:left="-360" w:right="-360"/>
        <w:contextualSpacing/>
        <w:rPr>
          <w:sz w:val="24"/>
          <w:szCs w:val="24"/>
        </w:rPr>
      </w:pPr>
    </w:p>
    <w:tbl>
      <w:tblPr>
        <w:tblpPr w:leftFromText="180" w:rightFromText="180" w:bottomFromText="115" w:vertAnchor="text" w:horzAnchor="margin" w:tblpX="-360" w:tblpY="555"/>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900"/>
        <w:gridCol w:w="810"/>
        <w:gridCol w:w="1170"/>
      </w:tblGrid>
      <w:tr w:rsidR="005D6EC3" w:rsidRPr="00C41C9C" w:rsidTr="00807EDC">
        <w:trPr>
          <w:trHeight w:val="432"/>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hideMark/>
          </w:tcPr>
          <w:p w:rsidR="005D6EC3" w:rsidRPr="00754FD0" w:rsidRDefault="007E478A" w:rsidP="00950F55">
            <w:pPr>
              <w:spacing w:line="252" w:lineRule="auto"/>
              <w:ind w:left="-108" w:right="85"/>
              <w:rPr>
                <w:rFonts w:ascii="Arial Narrow" w:hAnsi="Arial Narrow"/>
                <w:b/>
                <w:sz w:val="24"/>
                <w:szCs w:val="24"/>
              </w:rPr>
            </w:pPr>
            <w:r>
              <w:rPr>
                <w:rFonts w:ascii="Arial Narrow" w:hAnsi="Arial Narrow"/>
                <w:b/>
                <w:sz w:val="24"/>
                <w:szCs w:val="24"/>
              </w:rPr>
              <w:t>January</w:t>
            </w:r>
            <w:r w:rsidR="005D6EC3" w:rsidRPr="00754FD0">
              <w:rPr>
                <w:rFonts w:ascii="Arial Narrow" w:hAnsi="Arial Narrow"/>
                <w:b/>
                <w:sz w:val="24"/>
                <w:szCs w:val="24"/>
              </w:rPr>
              <w:t xml:space="preserve"> </w:t>
            </w:r>
            <w:r w:rsidR="005D6EC3">
              <w:rPr>
                <w:rFonts w:ascii="Arial Narrow" w:hAnsi="Arial Narrow"/>
                <w:b/>
                <w:sz w:val="24"/>
                <w:szCs w:val="24"/>
              </w:rPr>
              <w:t>Listings</w:t>
            </w:r>
          </w:p>
        </w:tc>
      </w:tr>
      <w:tr w:rsidR="005D6EC3" w:rsidRPr="00C41C9C" w:rsidTr="00807EDC">
        <w:trPr>
          <w:trHeight w:val="288"/>
        </w:trPr>
        <w:tc>
          <w:tcPr>
            <w:tcW w:w="1710" w:type="dxa"/>
            <w:tcBorders>
              <w:top w:val="single" w:sz="12" w:space="0" w:color="FFFFFF" w:themeColor="background1"/>
              <w:left w:val="nil"/>
              <w:bottom w:val="nil"/>
              <w:right w:val="single" w:sz="12" w:space="0" w:color="FFFFFF" w:themeColor="background1"/>
            </w:tcBorders>
            <w:shd w:val="clear" w:color="auto" w:fill="1F4E79" w:themeFill="accent1" w:themeFillShade="80"/>
            <w:vAlign w:val="center"/>
            <w:hideMark/>
          </w:tcPr>
          <w:p w:rsidR="005D6EC3" w:rsidRPr="00754FD0" w:rsidRDefault="005D6EC3" w:rsidP="00807EDC">
            <w:pPr>
              <w:ind w:left="175" w:right="100"/>
              <w:rPr>
                <w:b/>
                <w:color w:val="FFFFFF" w:themeColor="background1"/>
              </w:rPr>
            </w:pPr>
            <w:r w:rsidRPr="00754FD0">
              <w:rPr>
                <w:b/>
                <w:color w:val="FFFFFF" w:themeColor="background1"/>
              </w:rPr>
              <w:t>County</w:t>
            </w:r>
          </w:p>
        </w:tc>
        <w:tc>
          <w:tcPr>
            <w:tcW w:w="90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rsidR="005D6EC3" w:rsidRPr="00754FD0" w:rsidRDefault="005D6EC3" w:rsidP="00AF3EAF">
            <w:pPr>
              <w:spacing w:line="207" w:lineRule="atLeast"/>
              <w:ind w:left="44" w:right="62"/>
              <w:rPr>
                <w:color w:val="FFFFFF" w:themeColor="background1"/>
              </w:rPr>
            </w:pPr>
            <w:r w:rsidRPr="00754FD0">
              <w:rPr>
                <w:color w:val="FFFFFF" w:themeColor="background1"/>
              </w:rPr>
              <w:t>201</w:t>
            </w:r>
            <w:r w:rsidR="00AF3EAF">
              <w:rPr>
                <w:color w:val="FFFFFF" w:themeColor="background1"/>
              </w:rPr>
              <w:t>8</w:t>
            </w:r>
          </w:p>
        </w:tc>
        <w:tc>
          <w:tcPr>
            <w:tcW w:w="81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rsidR="005D6EC3" w:rsidRPr="00754FD0" w:rsidRDefault="005D6EC3" w:rsidP="00AF3EAF">
            <w:pPr>
              <w:spacing w:line="207" w:lineRule="atLeast"/>
              <w:ind w:right="-23"/>
              <w:rPr>
                <w:color w:val="FFFFFF" w:themeColor="background1"/>
              </w:rPr>
            </w:pPr>
            <w:r w:rsidRPr="00754FD0">
              <w:rPr>
                <w:color w:val="FFFFFF" w:themeColor="background1"/>
              </w:rPr>
              <w:t>201</w:t>
            </w:r>
            <w:r w:rsidR="00AF3EAF">
              <w:rPr>
                <w:color w:val="FFFFFF" w:themeColor="background1"/>
              </w:rPr>
              <w:t>9</w:t>
            </w:r>
          </w:p>
        </w:tc>
        <w:tc>
          <w:tcPr>
            <w:tcW w:w="1170" w:type="dxa"/>
            <w:tcBorders>
              <w:top w:val="single" w:sz="12" w:space="0" w:color="FFFFFF" w:themeColor="background1"/>
              <w:left w:val="single" w:sz="12" w:space="0" w:color="FFFFFF" w:themeColor="background1"/>
              <w:bottom w:val="nil"/>
            </w:tcBorders>
            <w:shd w:val="clear" w:color="auto" w:fill="1F4E79" w:themeFill="accent1" w:themeFillShade="80"/>
            <w:vAlign w:val="center"/>
          </w:tcPr>
          <w:p w:rsidR="005D6EC3" w:rsidRPr="00754FD0" w:rsidRDefault="005D6EC3" w:rsidP="00807EDC">
            <w:pPr>
              <w:ind w:left="89" w:right="90"/>
              <w:jc w:val="center"/>
              <w:rPr>
                <w:color w:val="FFFFFF" w:themeColor="background1"/>
              </w:rPr>
            </w:pPr>
            <w:r w:rsidRPr="00754FD0">
              <w:rPr>
                <w:color w:val="FFFFFF" w:themeColor="background1"/>
              </w:rPr>
              <w:t>% Change</w:t>
            </w:r>
          </w:p>
        </w:tc>
      </w:tr>
      <w:tr w:rsidR="005D6EC3" w:rsidRPr="00C41C9C" w:rsidTr="00807EDC">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5D6EC3" w:rsidRPr="00C41C9C" w:rsidRDefault="005D6EC3" w:rsidP="00950F55">
            <w:pPr>
              <w:spacing w:line="252" w:lineRule="auto"/>
              <w:ind w:left="62" w:right="100"/>
            </w:pPr>
            <w:r w:rsidRPr="00C41C9C">
              <w:t>Milwaukee</w:t>
            </w:r>
          </w:p>
        </w:tc>
        <w:tc>
          <w:tcPr>
            <w:tcW w:w="900" w:type="dxa"/>
            <w:tcBorders>
              <w:top w:val="nil"/>
              <w:left w:val="nil"/>
              <w:bottom w:val="nil"/>
              <w:right w:val="nil"/>
            </w:tcBorders>
            <w:shd w:val="clear" w:color="auto" w:fill="auto"/>
            <w:tcMar>
              <w:top w:w="0" w:type="dxa"/>
              <w:left w:w="108" w:type="dxa"/>
              <w:bottom w:w="0" w:type="dxa"/>
              <w:right w:w="108" w:type="dxa"/>
            </w:tcMar>
            <w:vAlign w:val="bottom"/>
          </w:tcPr>
          <w:p w:rsidR="005D6EC3" w:rsidRPr="00C41C9C" w:rsidRDefault="000D45BC" w:rsidP="00950F55">
            <w:pPr>
              <w:spacing w:line="252" w:lineRule="auto"/>
              <w:ind w:left="44" w:right="62"/>
            </w:pPr>
            <w:r>
              <w:t>978</w:t>
            </w:r>
          </w:p>
        </w:tc>
        <w:tc>
          <w:tcPr>
            <w:tcW w:w="810" w:type="dxa"/>
            <w:tcBorders>
              <w:top w:val="nil"/>
              <w:left w:val="nil"/>
              <w:bottom w:val="nil"/>
              <w:right w:val="nil"/>
            </w:tcBorders>
            <w:shd w:val="clear" w:color="auto" w:fill="auto"/>
            <w:tcMar>
              <w:top w:w="0" w:type="dxa"/>
              <w:left w:w="108" w:type="dxa"/>
              <w:bottom w:w="0" w:type="dxa"/>
              <w:right w:w="108" w:type="dxa"/>
            </w:tcMar>
            <w:vAlign w:val="bottom"/>
          </w:tcPr>
          <w:p w:rsidR="005D6EC3" w:rsidRPr="00C41C9C" w:rsidRDefault="000D45BC" w:rsidP="001B00EC">
            <w:pPr>
              <w:spacing w:line="252" w:lineRule="auto"/>
              <w:ind w:right="-23"/>
            </w:pPr>
            <w:r>
              <w:t>981</w:t>
            </w:r>
          </w:p>
        </w:tc>
        <w:tc>
          <w:tcPr>
            <w:tcW w:w="1170" w:type="dxa"/>
            <w:tcBorders>
              <w:top w:val="nil"/>
              <w:left w:val="nil"/>
              <w:bottom w:val="nil"/>
              <w:right w:val="nil"/>
            </w:tcBorders>
            <w:shd w:val="clear" w:color="auto" w:fill="auto"/>
            <w:vAlign w:val="center"/>
          </w:tcPr>
          <w:p w:rsidR="005D6EC3" w:rsidRPr="00C41C9C" w:rsidRDefault="001B00EC" w:rsidP="001B00EC">
            <w:pPr>
              <w:spacing w:line="252" w:lineRule="auto"/>
              <w:ind w:left="95" w:right="445"/>
              <w:jc w:val="right"/>
            </w:pPr>
            <w:r>
              <w:t>0</w:t>
            </w:r>
            <w:r w:rsidR="000D45BC">
              <w:t>.3</w:t>
            </w:r>
            <w:r w:rsidR="005D6EC3" w:rsidRPr="00C41C9C">
              <w:t>%</w:t>
            </w:r>
          </w:p>
        </w:tc>
      </w:tr>
      <w:tr w:rsidR="005D6EC3" w:rsidRPr="00C41C9C" w:rsidTr="00807EDC">
        <w:trPr>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rsidR="005D6EC3" w:rsidRPr="00C41C9C" w:rsidRDefault="005D6EC3" w:rsidP="00950F55">
            <w:pPr>
              <w:spacing w:line="252" w:lineRule="auto"/>
              <w:ind w:left="62" w:right="100"/>
            </w:pPr>
            <w:r w:rsidRPr="00C41C9C">
              <w:t>Waukesha</w:t>
            </w: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C41C9C" w:rsidRDefault="000D45BC" w:rsidP="001B00EC">
            <w:pPr>
              <w:spacing w:line="252" w:lineRule="auto"/>
              <w:ind w:left="44" w:right="62"/>
            </w:pPr>
            <w:r>
              <w:t>365</w:t>
            </w: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C41C9C" w:rsidRDefault="000D45BC" w:rsidP="001B00EC">
            <w:pPr>
              <w:spacing w:line="252" w:lineRule="auto"/>
              <w:ind w:right="-23"/>
            </w:pPr>
            <w:r>
              <w:t>441</w:t>
            </w:r>
          </w:p>
        </w:tc>
        <w:tc>
          <w:tcPr>
            <w:tcW w:w="1170" w:type="dxa"/>
            <w:tcBorders>
              <w:top w:val="nil"/>
              <w:left w:val="nil"/>
              <w:bottom w:val="nil"/>
              <w:right w:val="nil"/>
            </w:tcBorders>
            <w:shd w:val="clear" w:color="auto" w:fill="DEEAF6" w:themeFill="accent1" w:themeFillTint="33"/>
            <w:vAlign w:val="center"/>
          </w:tcPr>
          <w:p w:rsidR="005D6EC3" w:rsidRPr="00C41C9C" w:rsidRDefault="000D45BC" w:rsidP="000D45BC">
            <w:pPr>
              <w:spacing w:line="252" w:lineRule="auto"/>
              <w:ind w:left="95" w:right="445"/>
              <w:jc w:val="right"/>
            </w:pPr>
            <w:r>
              <w:t>20</w:t>
            </w:r>
            <w:r w:rsidR="005D6EC3">
              <w:t>.</w:t>
            </w:r>
            <w:r>
              <w:t>8</w:t>
            </w:r>
            <w:r w:rsidR="005D6EC3" w:rsidRPr="00C41C9C">
              <w:t>%</w:t>
            </w:r>
          </w:p>
        </w:tc>
      </w:tr>
      <w:tr w:rsidR="005D6EC3" w:rsidRPr="00C41C9C" w:rsidTr="00807EDC">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5D6EC3" w:rsidRPr="00C41C9C" w:rsidRDefault="005D6EC3" w:rsidP="00950F55">
            <w:pPr>
              <w:spacing w:line="252" w:lineRule="auto"/>
              <w:ind w:left="62" w:right="100"/>
            </w:pPr>
            <w:r w:rsidRPr="00C41C9C">
              <w:t>Washington</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5D6EC3" w:rsidRPr="00C41C9C" w:rsidRDefault="000D45BC" w:rsidP="00950F55">
            <w:pPr>
              <w:spacing w:line="252" w:lineRule="auto"/>
              <w:ind w:left="44" w:right="62"/>
            </w:pPr>
            <w:r>
              <w:t>169</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5D6EC3" w:rsidRPr="00C41C9C" w:rsidRDefault="000D45BC" w:rsidP="001B00EC">
            <w:pPr>
              <w:spacing w:line="252" w:lineRule="auto"/>
              <w:ind w:right="-23"/>
            </w:pPr>
            <w:r>
              <w:t>127</w:t>
            </w:r>
          </w:p>
        </w:tc>
        <w:tc>
          <w:tcPr>
            <w:tcW w:w="1170" w:type="dxa"/>
            <w:tcBorders>
              <w:top w:val="nil"/>
              <w:left w:val="nil"/>
              <w:bottom w:val="nil"/>
              <w:right w:val="nil"/>
            </w:tcBorders>
            <w:shd w:val="clear" w:color="auto" w:fill="auto"/>
            <w:vAlign w:val="center"/>
          </w:tcPr>
          <w:p w:rsidR="005D6EC3" w:rsidRPr="00C41C9C" w:rsidRDefault="005D6EC3" w:rsidP="000D45BC">
            <w:pPr>
              <w:spacing w:line="252" w:lineRule="auto"/>
              <w:ind w:left="95" w:right="445"/>
              <w:jc w:val="right"/>
            </w:pPr>
            <w:r>
              <w:t>-</w:t>
            </w:r>
            <w:r w:rsidR="001B00EC">
              <w:t>2</w:t>
            </w:r>
            <w:r w:rsidR="000D45BC">
              <w:t>4</w:t>
            </w:r>
            <w:r>
              <w:t>.</w:t>
            </w:r>
            <w:r w:rsidR="000D45BC">
              <w:t>9</w:t>
            </w:r>
            <w:r w:rsidRPr="00C41C9C">
              <w:t>%</w:t>
            </w:r>
          </w:p>
        </w:tc>
      </w:tr>
      <w:tr w:rsidR="005D6EC3" w:rsidRPr="00C41C9C" w:rsidTr="00807EDC">
        <w:trPr>
          <w:trHeight w:val="288"/>
        </w:trPr>
        <w:tc>
          <w:tcPr>
            <w:tcW w:w="17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rsidR="005D6EC3" w:rsidRPr="00C41C9C" w:rsidRDefault="005D6EC3" w:rsidP="00950F55">
            <w:pPr>
              <w:spacing w:line="252" w:lineRule="auto"/>
              <w:ind w:left="62" w:right="100"/>
            </w:pPr>
            <w:r w:rsidRPr="00C41C9C">
              <w:t>Ozaukee</w:t>
            </w:r>
          </w:p>
        </w:tc>
        <w:tc>
          <w:tcPr>
            <w:tcW w:w="90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5D6EC3" w:rsidRPr="00C41C9C" w:rsidRDefault="000D45BC" w:rsidP="00950F55">
            <w:pPr>
              <w:spacing w:line="252" w:lineRule="auto"/>
              <w:ind w:left="44" w:right="62"/>
            </w:pPr>
            <w:r>
              <w:t>124</w:t>
            </w:r>
          </w:p>
        </w:tc>
        <w:tc>
          <w:tcPr>
            <w:tcW w:w="8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5D6EC3" w:rsidRPr="00C41C9C" w:rsidRDefault="000D45BC" w:rsidP="001B00EC">
            <w:pPr>
              <w:spacing w:line="252" w:lineRule="auto"/>
              <w:ind w:right="-23"/>
            </w:pPr>
            <w:r>
              <w:t>118</w:t>
            </w:r>
          </w:p>
        </w:tc>
        <w:tc>
          <w:tcPr>
            <w:tcW w:w="1170" w:type="dxa"/>
            <w:tcBorders>
              <w:top w:val="nil"/>
              <w:left w:val="nil"/>
              <w:bottom w:val="single" w:sz="4" w:space="0" w:color="auto"/>
              <w:right w:val="nil"/>
            </w:tcBorders>
            <w:shd w:val="clear" w:color="auto" w:fill="DEEAF6" w:themeFill="accent1" w:themeFillTint="33"/>
            <w:vAlign w:val="center"/>
          </w:tcPr>
          <w:p w:rsidR="005D6EC3" w:rsidRPr="00C41C9C" w:rsidRDefault="005D6EC3" w:rsidP="000D45BC">
            <w:pPr>
              <w:spacing w:line="252" w:lineRule="auto"/>
              <w:ind w:left="95" w:right="445"/>
              <w:jc w:val="right"/>
            </w:pPr>
            <w:r w:rsidRPr="00C41C9C">
              <w:t>-</w:t>
            </w:r>
            <w:r w:rsidR="000D45BC">
              <w:t>4</w:t>
            </w:r>
            <w:r>
              <w:t>.</w:t>
            </w:r>
            <w:r w:rsidR="000D45BC">
              <w:t>8</w:t>
            </w:r>
            <w:r w:rsidRPr="00C41C9C">
              <w:t>%</w:t>
            </w:r>
          </w:p>
        </w:tc>
      </w:tr>
      <w:tr w:rsidR="005D6EC3" w:rsidRPr="00C41C9C" w:rsidTr="00807EDC">
        <w:trPr>
          <w:trHeight w:val="288"/>
        </w:trPr>
        <w:tc>
          <w:tcPr>
            <w:tcW w:w="171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rsidR="005D6EC3" w:rsidRPr="00C41C9C" w:rsidRDefault="005D6EC3" w:rsidP="00950F55">
            <w:pPr>
              <w:spacing w:line="252" w:lineRule="auto"/>
              <w:ind w:left="62" w:right="100"/>
            </w:pPr>
            <w:r w:rsidRPr="00C41C9C">
              <w:t>4 County Area</w:t>
            </w:r>
          </w:p>
        </w:tc>
        <w:tc>
          <w:tcPr>
            <w:tcW w:w="90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5D6EC3" w:rsidRPr="00C41C9C" w:rsidRDefault="000D45BC" w:rsidP="000D45BC">
            <w:pPr>
              <w:spacing w:line="252" w:lineRule="auto"/>
              <w:ind w:left="44" w:right="62"/>
            </w:pPr>
            <w:r>
              <w:t>1,636</w:t>
            </w:r>
          </w:p>
        </w:tc>
        <w:tc>
          <w:tcPr>
            <w:tcW w:w="81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5D6EC3" w:rsidRPr="00C41C9C" w:rsidRDefault="000D45BC" w:rsidP="000D45BC">
            <w:pPr>
              <w:spacing w:line="252" w:lineRule="auto"/>
              <w:ind w:right="-23"/>
            </w:pPr>
            <w:r>
              <w:t>1</w:t>
            </w:r>
            <w:r w:rsidR="005D6EC3">
              <w:t>,</w:t>
            </w:r>
            <w:r w:rsidR="001B00EC">
              <w:t>66</w:t>
            </w:r>
            <w:r>
              <w:t>7</w:t>
            </w:r>
          </w:p>
        </w:tc>
        <w:tc>
          <w:tcPr>
            <w:tcW w:w="1170" w:type="dxa"/>
            <w:tcBorders>
              <w:top w:val="single" w:sz="4" w:space="0" w:color="auto"/>
              <w:left w:val="nil"/>
              <w:bottom w:val="nil"/>
              <w:right w:val="nil"/>
            </w:tcBorders>
            <w:shd w:val="clear" w:color="auto" w:fill="auto"/>
            <w:vAlign w:val="center"/>
          </w:tcPr>
          <w:p w:rsidR="005D6EC3" w:rsidRPr="00C41C9C" w:rsidRDefault="001B00EC" w:rsidP="000D45BC">
            <w:pPr>
              <w:spacing w:line="252" w:lineRule="auto"/>
              <w:ind w:left="95" w:right="445"/>
              <w:jc w:val="right"/>
            </w:pPr>
            <w:r>
              <w:t>1</w:t>
            </w:r>
            <w:r w:rsidR="005D6EC3">
              <w:t>.</w:t>
            </w:r>
            <w:r w:rsidR="000D45BC">
              <w:t>9</w:t>
            </w:r>
            <w:r w:rsidR="005D6EC3" w:rsidRPr="00C41C9C">
              <w:t>%</w:t>
            </w:r>
          </w:p>
        </w:tc>
      </w:tr>
      <w:tr w:rsidR="005D6EC3" w:rsidRPr="00C41C9C" w:rsidTr="00807EDC">
        <w:trPr>
          <w:trHeight w:val="144"/>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156337" w:rsidRDefault="005D6EC3" w:rsidP="00950F55">
            <w:pPr>
              <w:spacing w:line="252" w:lineRule="auto"/>
              <w:ind w:left="62" w:right="100"/>
              <w:rPr>
                <w:sz w:val="10"/>
                <w:szCs w:val="10"/>
              </w:rPr>
            </w:pP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156337" w:rsidRDefault="005D6EC3" w:rsidP="00950F55">
            <w:pPr>
              <w:spacing w:line="252" w:lineRule="auto"/>
              <w:ind w:left="44" w:right="62"/>
              <w:rPr>
                <w:sz w:val="10"/>
                <w:szCs w:val="10"/>
              </w:rPr>
            </w:pP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156337" w:rsidRDefault="005D6EC3" w:rsidP="00950F55">
            <w:pPr>
              <w:spacing w:line="252" w:lineRule="auto"/>
              <w:ind w:right="-23"/>
              <w:rPr>
                <w:sz w:val="10"/>
                <w:szCs w:val="10"/>
              </w:rPr>
            </w:pPr>
          </w:p>
        </w:tc>
        <w:tc>
          <w:tcPr>
            <w:tcW w:w="1170" w:type="dxa"/>
            <w:tcBorders>
              <w:top w:val="nil"/>
              <w:left w:val="nil"/>
              <w:bottom w:val="nil"/>
              <w:right w:val="nil"/>
            </w:tcBorders>
            <w:shd w:val="clear" w:color="auto" w:fill="DEEAF6" w:themeFill="accent1" w:themeFillTint="33"/>
            <w:vAlign w:val="center"/>
          </w:tcPr>
          <w:p w:rsidR="005D6EC3" w:rsidRPr="00156337" w:rsidRDefault="005D6EC3" w:rsidP="00950F55">
            <w:pPr>
              <w:spacing w:line="252" w:lineRule="auto"/>
              <w:ind w:left="95" w:right="445"/>
              <w:jc w:val="right"/>
              <w:rPr>
                <w:sz w:val="10"/>
                <w:szCs w:val="10"/>
              </w:rPr>
            </w:pPr>
          </w:p>
        </w:tc>
      </w:tr>
      <w:tr w:rsidR="005D6EC3" w:rsidRPr="00C41C9C" w:rsidTr="00807EDC">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5D6EC3" w:rsidRPr="00C41C9C" w:rsidRDefault="005D6EC3" w:rsidP="00950F55">
            <w:pPr>
              <w:spacing w:line="252" w:lineRule="auto"/>
              <w:ind w:left="62" w:right="100"/>
            </w:pPr>
            <w:r>
              <w:t>Racine</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5D6EC3" w:rsidRPr="00C41C9C" w:rsidRDefault="000D45BC" w:rsidP="00950F55">
            <w:pPr>
              <w:spacing w:line="252" w:lineRule="auto"/>
              <w:ind w:left="44" w:right="62"/>
            </w:pPr>
            <w:r>
              <w:t>195</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5D6EC3" w:rsidRPr="00C41C9C" w:rsidRDefault="000D45BC" w:rsidP="001B00EC">
            <w:pPr>
              <w:spacing w:line="252" w:lineRule="auto"/>
              <w:ind w:right="-23"/>
            </w:pPr>
            <w:r>
              <w:t>205</w:t>
            </w:r>
          </w:p>
        </w:tc>
        <w:tc>
          <w:tcPr>
            <w:tcW w:w="1170" w:type="dxa"/>
            <w:tcBorders>
              <w:top w:val="nil"/>
              <w:left w:val="nil"/>
              <w:bottom w:val="nil"/>
              <w:right w:val="nil"/>
            </w:tcBorders>
            <w:shd w:val="clear" w:color="auto" w:fill="auto"/>
            <w:vAlign w:val="center"/>
          </w:tcPr>
          <w:p w:rsidR="005D6EC3" w:rsidRPr="00C41C9C" w:rsidRDefault="000D45BC" w:rsidP="000D45BC">
            <w:pPr>
              <w:spacing w:line="252" w:lineRule="auto"/>
              <w:ind w:left="95" w:right="445"/>
              <w:jc w:val="right"/>
            </w:pPr>
            <w:r>
              <w:t>5</w:t>
            </w:r>
            <w:r w:rsidR="005D6EC3">
              <w:t>.</w:t>
            </w:r>
            <w:r>
              <w:t>1</w:t>
            </w:r>
            <w:r w:rsidR="005D6EC3">
              <w:t>%</w:t>
            </w:r>
          </w:p>
        </w:tc>
      </w:tr>
      <w:tr w:rsidR="005D6EC3" w:rsidRPr="00C41C9C" w:rsidTr="00807EDC">
        <w:trPr>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C41C9C" w:rsidRDefault="005D6EC3" w:rsidP="00950F55">
            <w:pPr>
              <w:spacing w:line="252" w:lineRule="auto"/>
              <w:ind w:left="62" w:right="100"/>
            </w:pPr>
            <w:r>
              <w:t>Kenosha</w:t>
            </w: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C41C9C" w:rsidRDefault="000D45BC" w:rsidP="00950F55">
            <w:pPr>
              <w:spacing w:line="252" w:lineRule="auto"/>
              <w:ind w:left="44" w:right="62"/>
            </w:pPr>
            <w:r>
              <w:t>159</w:t>
            </w: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D6EC3" w:rsidRPr="00C41C9C" w:rsidRDefault="000D45BC" w:rsidP="001B00EC">
            <w:pPr>
              <w:spacing w:line="252" w:lineRule="auto"/>
              <w:ind w:right="-23"/>
            </w:pPr>
            <w:r>
              <w:t>185</w:t>
            </w:r>
          </w:p>
        </w:tc>
        <w:tc>
          <w:tcPr>
            <w:tcW w:w="1170" w:type="dxa"/>
            <w:tcBorders>
              <w:top w:val="nil"/>
              <w:left w:val="nil"/>
              <w:bottom w:val="nil"/>
              <w:right w:val="nil"/>
            </w:tcBorders>
            <w:shd w:val="clear" w:color="auto" w:fill="DEEAF6" w:themeFill="accent1" w:themeFillTint="33"/>
            <w:vAlign w:val="center"/>
          </w:tcPr>
          <w:p w:rsidR="005D6EC3" w:rsidRPr="00C41C9C" w:rsidRDefault="000D45BC" w:rsidP="000D45BC">
            <w:pPr>
              <w:spacing w:line="252" w:lineRule="auto"/>
              <w:ind w:left="95" w:right="445"/>
              <w:jc w:val="right"/>
            </w:pPr>
            <w:r>
              <w:t>16</w:t>
            </w:r>
            <w:r w:rsidR="005D6EC3">
              <w:t>.</w:t>
            </w:r>
            <w:r>
              <w:t>4</w:t>
            </w:r>
            <w:r w:rsidR="005D6EC3">
              <w:t>%</w:t>
            </w:r>
          </w:p>
        </w:tc>
      </w:tr>
      <w:tr w:rsidR="009F10D6" w:rsidRPr="00C41C9C" w:rsidTr="00807EDC">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9F10D6" w:rsidP="00950F55">
            <w:pPr>
              <w:spacing w:line="252" w:lineRule="auto"/>
              <w:ind w:left="62" w:right="100"/>
            </w:pPr>
            <w:r>
              <w:t>Walworth</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0D45BC" w:rsidP="00950F55">
            <w:pPr>
              <w:spacing w:line="252" w:lineRule="auto"/>
              <w:ind w:left="44" w:right="62"/>
            </w:pPr>
            <w:r>
              <w:t>165</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9F10D6" w:rsidRDefault="000D45BC" w:rsidP="001B00EC">
            <w:pPr>
              <w:spacing w:line="252" w:lineRule="auto"/>
              <w:ind w:right="-23"/>
            </w:pPr>
            <w:r>
              <w:t>159</w:t>
            </w:r>
          </w:p>
        </w:tc>
        <w:tc>
          <w:tcPr>
            <w:tcW w:w="1170" w:type="dxa"/>
            <w:tcBorders>
              <w:top w:val="nil"/>
              <w:left w:val="nil"/>
              <w:bottom w:val="nil"/>
              <w:right w:val="nil"/>
            </w:tcBorders>
            <w:shd w:val="clear" w:color="auto" w:fill="auto"/>
            <w:vAlign w:val="center"/>
          </w:tcPr>
          <w:p w:rsidR="009F10D6" w:rsidRDefault="000D45BC" w:rsidP="000D45BC">
            <w:pPr>
              <w:spacing w:line="252" w:lineRule="auto"/>
              <w:ind w:left="95" w:right="445"/>
              <w:jc w:val="right"/>
            </w:pPr>
            <w:r>
              <w:t>-3</w:t>
            </w:r>
            <w:r w:rsidR="00EC64B4">
              <w:t>.</w:t>
            </w:r>
            <w:r>
              <w:t>6</w:t>
            </w:r>
            <w:r w:rsidR="00EC64B4">
              <w:t>%</w:t>
            </w:r>
          </w:p>
        </w:tc>
      </w:tr>
    </w:tbl>
    <w:p w:rsidR="00A92A94" w:rsidRDefault="00EC64B4" w:rsidP="007B6D3B">
      <w:pPr>
        <w:spacing w:before="120" w:after="120"/>
        <w:ind w:left="-360" w:right="-360"/>
        <w:contextualSpacing/>
        <w:rPr>
          <w:sz w:val="24"/>
          <w:szCs w:val="24"/>
        </w:rPr>
      </w:pPr>
      <w:r>
        <w:rPr>
          <w:sz w:val="24"/>
          <w:szCs w:val="24"/>
        </w:rPr>
        <w:t xml:space="preserve"> </w:t>
      </w:r>
    </w:p>
    <w:p w:rsidR="00A92A94" w:rsidRPr="00E65340" w:rsidRDefault="00A92A94" w:rsidP="007B6D3B">
      <w:pPr>
        <w:spacing w:before="120" w:after="120"/>
        <w:ind w:left="-360" w:right="-360"/>
        <w:contextualSpacing/>
        <w:rPr>
          <w:sz w:val="24"/>
          <w:szCs w:val="24"/>
        </w:rPr>
      </w:pPr>
    </w:p>
    <w:p w:rsidR="001E0262" w:rsidRDefault="001E0262" w:rsidP="001F5CBD">
      <w:pPr>
        <w:spacing w:before="120" w:after="120"/>
        <w:ind w:left="-360" w:right="-360"/>
        <w:contextualSpacing/>
        <w:rPr>
          <w:sz w:val="24"/>
          <w:szCs w:val="24"/>
        </w:rPr>
      </w:pPr>
    </w:p>
    <w:p w:rsidR="00D0513E" w:rsidRDefault="00D0513E"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0D45BC" w:rsidRDefault="000D45BC" w:rsidP="001F5CBD">
      <w:pPr>
        <w:spacing w:before="120" w:after="120"/>
        <w:ind w:left="-360" w:right="-360"/>
        <w:contextualSpacing/>
        <w:rPr>
          <w:sz w:val="24"/>
          <w:szCs w:val="24"/>
        </w:rPr>
      </w:pPr>
    </w:p>
    <w:p w:rsidR="00127EF0" w:rsidRDefault="00127EF0" w:rsidP="001F5CBD">
      <w:pPr>
        <w:spacing w:before="120" w:after="120"/>
        <w:ind w:left="-360" w:right="-360"/>
        <w:contextualSpacing/>
        <w:jc w:val="both"/>
        <w:rPr>
          <w:b/>
          <w:bCs/>
          <w:sz w:val="24"/>
          <w:szCs w:val="24"/>
          <w:u w:val="single"/>
        </w:rPr>
      </w:pPr>
      <w:r>
        <w:rPr>
          <w:b/>
          <w:bCs/>
          <w:sz w:val="24"/>
          <w:szCs w:val="24"/>
          <w:u w:val="single"/>
        </w:rPr>
        <w:t>Where to go</w:t>
      </w:r>
    </w:p>
    <w:p w:rsidR="00127EF0" w:rsidRDefault="00127EF0" w:rsidP="001F5CBD">
      <w:pPr>
        <w:spacing w:before="120" w:after="120"/>
        <w:ind w:left="-360" w:right="-360"/>
        <w:contextualSpacing/>
        <w:rPr>
          <w:sz w:val="24"/>
          <w:szCs w:val="24"/>
        </w:rPr>
      </w:pPr>
      <w:r>
        <w:rPr>
          <w:sz w:val="24"/>
          <w:szCs w:val="24"/>
        </w:rPr>
        <w:t>Buyers should seek the counsel of a REALTOR® in determining their best housing options, and sellers need a REALTORS® expert advice in making correct marketing decisions with their home</w:t>
      </w:r>
      <w:r w:rsidR="001B4CFE">
        <w:rPr>
          <w:sz w:val="24"/>
          <w:szCs w:val="24"/>
        </w:rPr>
        <w:t>s</w:t>
      </w:r>
      <w:r>
        <w:rPr>
          <w:sz w:val="24"/>
          <w:szCs w:val="24"/>
        </w:rPr>
        <w:t>.</w:t>
      </w:r>
    </w:p>
    <w:p w:rsidR="00127EF0" w:rsidRDefault="00127EF0" w:rsidP="001F5CBD">
      <w:pPr>
        <w:spacing w:before="120" w:after="120"/>
        <w:ind w:left="-360" w:right="-360"/>
        <w:contextualSpacing/>
        <w:rPr>
          <w:sz w:val="24"/>
          <w:szCs w:val="24"/>
        </w:rPr>
      </w:pPr>
    </w:p>
    <w:p w:rsidR="00127EF0" w:rsidRDefault="00127EF0" w:rsidP="001F5CBD">
      <w:pPr>
        <w:spacing w:before="120" w:after="120"/>
        <w:ind w:left="-360" w:right="-360"/>
        <w:contextualSpacing/>
        <w:rPr>
          <w:sz w:val="24"/>
          <w:szCs w:val="24"/>
        </w:rPr>
      </w:pPr>
      <w:r>
        <w:rPr>
          <w:sz w:val="24"/>
          <w:szCs w:val="24"/>
        </w:rPr>
        <w:t>The Greater Milwaukee Association of REALTORS</w:t>
      </w:r>
      <w:r>
        <w:rPr>
          <w:sz w:val="24"/>
          <w:szCs w:val="24"/>
          <w:vertAlign w:val="superscript"/>
        </w:rPr>
        <w:t>®</w:t>
      </w:r>
      <w:r w:rsidR="001E0262">
        <w:rPr>
          <w:sz w:val="24"/>
          <w:szCs w:val="24"/>
        </w:rPr>
        <w:t xml:space="preserve"> is a 4,5</w:t>
      </w:r>
      <w:r>
        <w:rPr>
          <w:sz w:val="24"/>
          <w:szCs w:val="24"/>
        </w:rPr>
        <w:t>00-member strong professional organization dedicated to providing information, services and products to “help REALTORS</w:t>
      </w:r>
      <w:r>
        <w:rPr>
          <w:sz w:val="24"/>
          <w:szCs w:val="24"/>
          <w:vertAlign w:val="superscript"/>
        </w:rPr>
        <w:t>®</w:t>
      </w:r>
      <w:r>
        <w:rPr>
          <w:sz w:val="24"/>
          <w:szCs w:val="24"/>
        </w:rPr>
        <w:t xml:space="preserve"> help their clients” buy and sell real estate.  Data for this report was collected by Metro MLS, Inc. a wholly-owned subsidiary of the GMAR.</w:t>
      </w:r>
    </w:p>
    <w:p w:rsidR="00127EF0" w:rsidRDefault="00127EF0" w:rsidP="001F5CBD">
      <w:pPr>
        <w:spacing w:before="120" w:after="120"/>
        <w:ind w:left="-360" w:right="-360"/>
        <w:contextualSpacing/>
        <w:rPr>
          <w:sz w:val="24"/>
          <w:szCs w:val="24"/>
        </w:rPr>
      </w:pPr>
    </w:p>
    <w:p w:rsidR="00127EF0" w:rsidRDefault="00127EF0" w:rsidP="001F5CBD">
      <w:pPr>
        <w:spacing w:before="120" w:after="120"/>
        <w:ind w:left="-360" w:right="-360"/>
        <w:contextualSpacing/>
        <w:jc w:val="both"/>
        <w:rPr>
          <w:sz w:val="20"/>
          <w:szCs w:val="20"/>
        </w:rPr>
      </w:pPr>
      <w:r>
        <w:rPr>
          <w:sz w:val="20"/>
          <w:szCs w:val="20"/>
        </w:rPr>
        <w:t>* Sales and Listing figures differ between the “Monthly Stats” and “4th qtr” (or year-end) because the collection of “Monthly Stats” ends on the 10</w:t>
      </w:r>
      <w:r>
        <w:rPr>
          <w:sz w:val="20"/>
          <w:szCs w:val="20"/>
          <w:vertAlign w:val="superscript"/>
        </w:rPr>
        <w:t>th</w:t>
      </w:r>
      <w:r>
        <w:rPr>
          <w:sz w:val="20"/>
          <w:szCs w:val="20"/>
        </w:rPr>
        <w:t xml:space="preserve"> of each month; whereas the “4</w:t>
      </w:r>
      <w:r>
        <w:rPr>
          <w:sz w:val="20"/>
          <w:szCs w:val="20"/>
          <w:vertAlign w:val="superscript"/>
        </w:rPr>
        <w:t>th</w:t>
      </w:r>
      <w:r>
        <w:rPr>
          <w:sz w:val="20"/>
          <w:szCs w:val="20"/>
        </w:rPr>
        <w:t xml:space="preserve"> qtr” is a continuous tally to 12/31.  For example, if a sale occurred on </w:t>
      </w:r>
      <w:r w:rsidR="007E478A">
        <w:rPr>
          <w:sz w:val="20"/>
          <w:szCs w:val="20"/>
        </w:rPr>
        <w:t>January</w:t>
      </w:r>
      <w:r>
        <w:rPr>
          <w:sz w:val="20"/>
          <w:szCs w:val="20"/>
        </w:rPr>
        <w:t xml:space="preserve"> 29</w:t>
      </w:r>
      <w:r>
        <w:rPr>
          <w:sz w:val="20"/>
          <w:szCs w:val="20"/>
          <w:vertAlign w:val="superscript"/>
        </w:rPr>
        <w:t>th</w:t>
      </w:r>
      <w:r>
        <w:rPr>
          <w:sz w:val="20"/>
          <w:szCs w:val="20"/>
        </w:rPr>
        <w:t xml:space="preserve">, but the agent does not record the sale until </w:t>
      </w:r>
      <w:r w:rsidR="007E478A">
        <w:rPr>
          <w:sz w:val="20"/>
          <w:szCs w:val="20"/>
        </w:rPr>
        <w:t>January</w:t>
      </w:r>
      <w:r>
        <w:rPr>
          <w:sz w:val="20"/>
          <w:szCs w:val="20"/>
        </w:rPr>
        <w:t xml:space="preserve"> 11</w:t>
      </w:r>
      <w:r>
        <w:rPr>
          <w:sz w:val="20"/>
          <w:szCs w:val="20"/>
          <w:vertAlign w:val="superscript"/>
        </w:rPr>
        <w:t>th</w:t>
      </w:r>
      <w:r>
        <w:rPr>
          <w:sz w:val="20"/>
          <w:szCs w:val="20"/>
        </w:rPr>
        <w:t xml:space="preserve">, that sale would not be included in the </w:t>
      </w:r>
      <w:r w:rsidR="007E478A">
        <w:rPr>
          <w:sz w:val="20"/>
          <w:szCs w:val="20"/>
        </w:rPr>
        <w:t>January</w:t>
      </w:r>
      <w:r>
        <w:rPr>
          <w:sz w:val="20"/>
          <w:szCs w:val="20"/>
        </w:rPr>
        <w:t xml:space="preserve"> sales figures (or any subsequent month’s total) but would be added to the annual total sales figure in the “4</w:t>
      </w:r>
      <w:r>
        <w:rPr>
          <w:sz w:val="20"/>
          <w:szCs w:val="20"/>
          <w:vertAlign w:val="superscript"/>
        </w:rPr>
        <w:t>th</w:t>
      </w:r>
      <w:r>
        <w:rPr>
          <w:sz w:val="20"/>
          <w:szCs w:val="20"/>
        </w:rPr>
        <w:t xml:space="preserve"> qtr” total.</w:t>
      </w:r>
    </w:p>
    <w:p w:rsidR="00127EF0" w:rsidRDefault="00127EF0" w:rsidP="001F5CBD">
      <w:pPr>
        <w:spacing w:before="120" w:after="120"/>
        <w:ind w:left="-360" w:right="-360"/>
        <w:contextualSpacing/>
        <w:rPr>
          <w:sz w:val="24"/>
          <w:szCs w:val="24"/>
        </w:rPr>
      </w:pPr>
    </w:p>
    <w:p w:rsidR="00323325" w:rsidRDefault="00127EF0" w:rsidP="0002203D">
      <w:pPr>
        <w:spacing w:before="120" w:after="120"/>
        <w:ind w:left="-360" w:right="-360"/>
        <w:contextualSpacing/>
        <w:jc w:val="center"/>
        <w:rPr>
          <w:b/>
          <w:bCs/>
          <w:sz w:val="24"/>
          <w:szCs w:val="24"/>
        </w:rPr>
      </w:pPr>
      <w:r>
        <w:rPr>
          <w:b/>
          <w:bCs/>
          <w:sz w:val="24"/>
          <w:szCs w:val="24"/>
        </w:rPr>
        <w:t>*     *     *     *     *</w:t>
      </w:r>
      <w:bookmarkEnd w:id="0"/>
    </w:p>
    <w:p w:rsidR="000D45BC" w:rsidRDefault="000D45BC" w:rsidP="000D45BC">
      <w:pPr>
        <w:spacing w:before="120" w:after="120"/>
        <w:ind w:left="-360" w:right="-360"/>
        <w:contextualSpacing/>
        <w:rPr>
          <w:b/>
          <w:bCs/>
          <w:sz w:val="24"/>
          <w:szCs w:val="24"/>
        </w:rPr>
      </w:pPr>
    </w:p>
    <w:sectPr w:rsidR="000D45BC" w:rsidSect="00AD053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83"/>
    <w:rsid w:val="0000535B"/>
    <w:rsid w:val="0002203D"/>
    <w:rsid w:val="000231FD"/>
    <w:rsid w:val="00027936"/>
    <w:rsid w:val="00036C88"/>
    <w:rsid w:val="00050EC7"/>
    <w:rsid w:val="000643AB"/>
    <w:rsid w:val="00085C75"/>
    <w:rsid w:val="000871EE"/>
    <w:rsid w:val="000A3217"/>
    <w:rsid w:val="000D45BC"/>
    <w:rsid w:val="000F21F9"/>
    <w:rsid w:val="00127EF0"/>
    <w:rsid w:val="001312C0"/>
    <w:rsid w:val="0013524F"/>
    <w:rsid w:val="00153E7F"/>
    <w:rsid w:val="001559E4"/>
    <w:rsid w:val="00156337"/>
    <w:rsid w:val="001710C0"/>
    <w:rsid w:val="00183378"/>
    <w:rsid w:val="00186DB6"/>
    <w:rsid w:val="001A060A"/>
    <w:rsid w:val="001B00EC"/>
    <w:rsid w:val="001B4CFE"/>
    <w:rsid w:val="001B610A"/>
    <w:rsid w:val="001C2406"/>
    <w:rsid w:val="001C62A3"/>
    <w:rsid w:val="001E0262"/>
    <w:rsid w:val="001F0911"/>
    <w:rsid w:val="001F5CBD"/>
    <w:rsid w:val="00211BC4"/>
    <w:rsid w:val="0023346D"/>
    <w:rsid w:val="002369FD"/>
    <w:rsid w:val="002C0B6C"/>
    <w:rsid w:val="003105DB"/>
    <w:rsid w:val="003176C9"/>
    <w:rsid w:val="00323325"/>
    <w:rsid w:val="0033059A"/>
    <w:rsid w:val="0033551A"/>
    <w:rsid w:val="003639E9"/>
    <w:rsid w:val="00366609"/>
    <w:rsid w:val="003724B8"/>
    <w:rsid w:val="00387C56"/>
    <w:rsid w:val="003B1886"/>
    <w:rsid w:val="004217B7"/>
    <w:rsid w:val="00437E34"/>
    <w:rsid w:val="00470AB1"/>
    <w:rsid w:val="0048406D"/>
    <w:rsid w:val="00486BF3"/>
    <w:rsid w:val="004A5FC1"/>
    <w:rsid w:val="004E6E55"/>
    <w:rsid w:val="00501774"/>
    <w:rsid w:val="00503E46"/>
    <w:rsid w:val="00510938"/>
    <w:rsid w:val="0052049F"/>
    <w:rsid w:val="00534DD3"/>
    <w:rsid w:val="0054105F"/>
    <w:rsid w:val="00544E79"/>
    <w:rsid w:val="00552DBB"/>
    <w:rsid w:val="005552A3"/>
    <w:rsid w:val="00556E33"/>
    <w:rsid w:val="00577F84"/>
    <w:rsid w:val="00580AAD"/>
    <w:rsid w:val="00585519"/>
    <w:rsid w:val="0059620F"/>
    <w:rsid w:val="005D6EC3"/>
    <w:rsid w:val="005E4C81"/>
    <w:rsid w:val="005F0E5D"/>
    <w:rsid w:val="00602021"/>
    <w:rsid w:val="006213F9"/>
    <w:rsid w:val="00623E52"/>
    <w:rsid w:val="00627F72"/>
    <w:rsid w:val="00637D71"/>
    <w:rsid w:val="00654B2A"/>
    <w:rsid w:val="006744A3"/>
    <w:rsid w:val="0068075F"/>
    <w:rsid w:val="006B1AEE"/>
    <w:rsid w:val="006D13A0"/>
    <w:rsid w:val="006D176A"/>
    <w:rsid w:val="006D3CD7"/>
    <w:rsid w:val="006E60DF"/>
    <w:rsid w:val="006F7D1E"/>
    <w:rsid w:val="00707437"/>
    <w:rsid w:val="00742C85"/>
    <w:rsid w:val="00754539"/>
    <w:rsid w:val="00754FD0"/>
    <w:rsid w:val="0078467D"/>
    <w:rsid w:val="0079199D"/>
    <w:rsid w:val="0079305F"/>
    <w:rsid w:val="007B6D3B"/>
    <w:rsid w:val="007C3727"/>
    <w:rsid w:val="007C40CE"/>
    <w:rsid w:val="007E478A"/>
    <w:rsid w:val="007F41E1"/>
    <w:rsid w:val="00807EDC"/>
    <w:rsid w:val="00815481"/>
    <w:rsid w:val="00817377"/>
    <w:rsid w:val="00853C6E"/>
    <w:rsid w:val="008654F1"/>
    <w:rsid w:val="0089320B"/>
    <w:rsid w:val="008A6E66"/>
    <w:rsid w:val="008D51A0"/>
    <w:rsid w:val="008F15EA"/>
    <w:rsid w:val="00902D03"/>
    <w:rsid w:val="0092306F"/>
    <w:rsid w:val="00945145"/>
    <w:rsid w:val="00945C7F"/>
    <w:rsid w:val="00950D76"/>
    <w:rsid w:val="00950F55"/>
    <w:rsid w:val="009566F0"/>
    <w:rsid w:val="00960659"/>
    <w:rsid w:val="009717AC"/>
    <w:rsid w:val="00973EEB"/>
    <w:rsid w:val="00986E1D"/>
    <w:rsid w:val="009A3885"/>
    <w:rsid w:val="009B397A"/>
    <w:rsid w:val="009B6FCA"/>
    <w:rsid w:val="009D1956"/>
    <w:rsid w:val="009D2241"/>
    <w:rsid w:val="009F10D6"/>
    <w:rsid w:val="00A017CA"/>
    <w:rsid w:val="00A2539A"/>
    <w:rsid w:val="00A344B6"/>
    <w:rsid w:val="00A37F31"/>
    <w:rsid w:val="00A60995"/>
    <w:rsid w:val="00A648D1"/>
    <w:rsid w:val="00A66F2A"/>
    <w:rsid w:val="00A92A94"/>
    <w:rsid w:val="00A96CA0"/>
    <w:rsid w:val="00AB1D2A"/>
    <w:rsid w:val="00AB30DB"/>
    <w:rsid w:val="00AC3065"/>
    <w:rsid w:val="00AD0530"/>
    <w:rsid w:val="00AE1A13"/>
    <w:rsid w:val="00AF3EAF"/>
    <w:rsid w:val="00B01F83"/>
    <w:rsid w:val="00B062F3"/>
    <w:rsid w:val="00B704CC"/>
    <w:rsid w:val="00B93707"/>
    <w:rsid w:val="00BA70FF"/>
    <w:rsid w:val="00BA71CB"/>
    <w:rsid w:val="00BC1205"/>
    <w:rsid w:val="00BD7407"/>
    <w:rsid w:val="00BE172C"/>
    <w:rsid w:val="00BF155E"/>
    <w:rsid w:val="00C042A4"/>
    <w:rsid w:val="00C10518"/>
    <w:rsid w:val="00C37BF8"/>
    <w:rsid w:val="00C41C9C"/>
    <w:rsid w:val="00C5567F"/>
    <w:rsid w:val="00C66FB5"/>
    <w:rsid w:val="00C746BD"/>
    <w:rsid w:val="00C76AED"/>
    <w:rsid w:val="00C919A0"/>
    <w:rsid w:val="00CD08DE"/>
    <w:rsid w:val="00CD626E"/>
    <w:rsid w:val="00D01D6F"/>
    <w:rsid w:val="00D0513E"/>
    <w:rsid w:val="00D27B49"/>
    <w:rsid w:val="00D432FD"/>
    <w:rsid w:val="00D44446"/>
    <w:rsid w:val="00D5287E"/>
    <w:rsid w:val="00DA2234"/>
    <w:rsid w:val="00DB7C1E"/>
    <w:rsid w:val="00DD184E"/>
    <w:rsid w:val="00E12F08"/>
    <w:rsid w:val="00E22DD1"/>
    <w:rsid w:val="00E302C4"/>
    <w:rsid w:val="00E35D19"/>
    <w:rsid w:val="00E56F12"/>
    <w:rsid w:val="00E64AEC"/>
    <w:rsid w:val="00E65340"/>
    <w:rsid w:val="00E8432A"/>
    <w:rsid w:val="00E926DC"/>
    <w:rsid w:val="00E93F72"/>
    <w:rsid w:val="00EA2981"/>
    <w:rsid w:val="00EC64B4"/>
    <w:rsid w:val="00EC789A"/>
    <w:rsid w:val="00ED577D"/>
    <w:rsid w:val="00F04E39"/>
    <w:rsid w:val="00F07937"/>
    <w:rsid w:val="00F079C3"/>
    <w:rsid w:val="00F27208"/>
    <w:rsid w:val="00F34C38"/>
    <w:rsid w:val="00F35E94"/>
    <w:rsid w:val="00F4702E"/>
    <w:rsid w:val="00F56E8C"/>
    <w:rsid w:val="00F73353"/>
    <w:rsid w:val="00F93942"/>
    <w:rsid w:val="00F94B2E"/>
    <w:rsid w:val="00FC30D6"/>
    <w:rsid w:val="00FD76D1"/>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5BAC1-F34F-4B12-9904-58F3866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F83"/>
    <w:pPr>
      <w:spacing w:after="0" w:line="240" w:lineRule="auto"/>
    </w:p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gmar.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gmar.ws"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53</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3</cp:revision>
  <cp:lastPrinted>2019-02-13T20:01:00Z</cp:lastPrinted>
  <dcterms:created xsi:type="dcterms:W3CDTF">2019-02-13T19:09:00Z</dcterms:created>
  <dcterms:modified xsi:type="dcterms:W3CDTF">2019-02-13T20:06:00Z</dcterms:modified>
</cp:coreProperties>
</file>