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F0" w:rsidRDefault="001F5CBD" w:rsidP="001F5CBD">
      <w:pPr>
        <w:jc w:val="center"/>
        <w:rPr>
          <w:sz w:val="24"/>
          <w:szCs w:val="24"/>
        </w:rPr>
      </w:pPr>
      <w:bookmarkStart w:id="0" w:name="_MailOriginal"/>
      <w:r>
        <w:rPr>
          <w:noProof/>
          <w:sz w:val="24"/>
          <w:szCs w:val="24"/>
        </w:rPr>
        <w:drawing>
          <wp:anchor distT="0" distB="0" distL="114300" distR="114300" simplePos="0" relativeHeight="251667456" behindDoc="0" locked="0" layoutInCell="1" allowOverlap="1">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5">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9E22D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9B3EAE" w:rsidP="001F5CBD">
                            <w:pPr>
                              <w:ind w:firstLine="720"/>
                              <w:rPr>
                                <w:color w:val="FFFFFF" w:themeColor="background1"/>
                              </w:rPr>
                            </w:pPr>
                            <w:hyperlink r:id="rId6" w:history="1">
                              <w:r w:rsidR="001F5CBD" w:rsidRPr="00A66F2A">
                                <w:rPr>
                                  <w:rStyle w:val="Hyperlink"/>
                                  <w:color w:val="FFFFFF" w:themeColor="background1"/>
                                  <w:sz w:val="26"/>
                                  <w:szCs w:val="26"/>
                                </w:rPr>
                                <w:t>mike@gmar.ws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" adj="17065" fillcolor="#1f4d78 [1604]" strokecolor="#1f4d78 [1604]" strokeweight="1pt">
                <v:textbo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9B3EAE" w:rsidP="001F5CBD">
                      <w:pPr>
                        <w:ind w:firstLine="720"/>
                        <w:rPr>
                          <w:color w:val="FFFFFF" w:themeColor="background1"/>
                        </w:rPr>
                      </w:pPr>
                      <w:hyperlink r:id="rId7" w:history="1">
                        <w:r w:rsidR="001F5CBD" w:rsidRPr="00A66F2A">
                          <w:rPr>
                            <w:rStyle w:val="Hyperlink"/>
                            <w:color w:val="FFFFFF" w:themeColor="background1"/>
                            <w:sz w:val="26"/>
                            <w:szCs w:val="26"/>
                          </w:rPr>
                          <w:t>mike@gmar.ws</w:t>
                        </w:r>
                      </w:hyperlink>
                    </w:p>
                  </w:txbxContent>
                </v:textbox>
              </v:shape>
            </w:pict>
          </mc:Fallback>
        </mc:AlternateContent>
      </w:r>
      <w:r w:rsidR="00127EF0">
        <w:rPr>
          <w:sz w:val="24"/>
          <w:szCs w:val="24"/>
        </w:rPr>
        <w:t xml:space="preserve"> </w:t>
      </w:r>
    </w:p>
    <w:p w:rsidR="00127EF0" w:rsidRDefault="00127EF0" w:rsidP="00127EF0">
      <w:pPr>
        <w:rPr>
          <w:sz w:val="24"/>
          <w:szCs w:val="24"/>
        </w:rPr>
      </w:pPr>
    </w:p>
    <w:p w:rsidR="00127EF0" w:rsidRDefault="00127EF0" w:rsidP="00127EF0">
      <w:pPr>
        <w:rPr>
          <w:sz w:val="24"/>
          <w:szCs w:val="24"/>
        </w:rPr>
      </w:pPr>
    </w:p>
    <w:p w:rsidR="00127EF0" w:rsidRDefault="00127EF0" w:rsidP="00127EF0">
      <w:pPr>
        <w:jc w:val="center"/>
        <w:rPr>
          <w:rFonts w:eastAsia="Times New Roman"/>
          <w:b/>
          <w:bCs/>
          <w:sz w:val="24"/>
          <w:szCs w:val="24"/>
        </w:rPr>
      </w:pPr>
    </w:p>
    <w:p w:rsidR="001F5CBD" w:rsidRDefault="001F5CBD" w:rsidP="00127EF0">
      <w:pPr>
        <w:spacing w:before="120" w:after="120"/>
        <w:ind w:left="-360" w:right="-360"/>
        <w:contextualSpacing/>
        <w:jc w:val="center"/>
        <w:rPr>
          <w:rFonts w:ascii="Arial Narrow" w:hAnsi="Arial Narrow"/>
          <w:b/>
          <w:bCs/>
          <w:sz w:val="56"/>
          <w:szCs w:val="56"/>
        </w:rPr>
      </w:pPr>
    </w:p>
    <w:p w:rsidR="001F5CBD" w:rsidRDefault="001F5CBD" w:rsidP="001F5CBD">
      <w:pPr>
        <w:spacing w:before="120" w:after="120"/>
        <w:ind w:left="-360" w:right="-360"/>
        <w:contextualSpacing/>
        <w:jc w:val="center"/>
        <w:rPr>
          <w:rFonts w:ascii="Arial Narrow" w:hAnsi="Arial Narrow"/>
          <w:b/>
          <w:bCs/>
          <w:sz w:val="56"/>
          <w:szCs w:val="56"/>
        </w:rPr>
      </w:pPr>
    </w:p>
    <w:p w:rsidR="00127EF0" w:rsidRPr="001F5CBD" w:rsidRDefault="006A1D0C" w:rsidP="001F5CBD">
      <w:pPr>
        <w:spacing w:before="120" w:after="120"/>
        <w:ind w:left="-360" w:right="-360"/>
        <w:contextualSpacing/>
        <w:jc w:val="center"/>
        <w:rPr>
          <w:rFonts w:ascii="Arial Narrow" w:hAnsi="Arial Narrow"/>
          <w:b/>
          <w:bCs/>
          <w:sz w:val="72"/>
          <w:szCs w:val="72"/>
        </w:rPr>
      </w:pPr>
      <w:r>
        <w:rPr>
          <w:rFonts w:ascii="Arial Narrow" w:hAnsi="Arial Narrow"/>
          <w:b/>
          <w:bCs/>
          <w:sz w:val="72"/>
          <w:szCs w:val="72"/>
        </w:rPr>
        <w:t>February</w:t>
      </w:r>
      <w:r w:rsidR="00127EF0" w:rsidRPr="001F5CBD">
        <w:rPr>
          <w:rFonts w:ascii="Arial Narrow" w:hAnsi="Arial Narrow"/>
          <w:b/>
          <w:bCs/>
          <w:sz w:val="72"/>
          <w:szCs w:val="72"/>
        </w:rPr>
        <w:t xml:space="preserve"> Home Sales </w:t>
      </w:r>
      <w:r w:rsidR="00E56F12">
        <w:rPr>
          <w:rFonts w:ascii="Arial Narrow" w:hAnsi="Arial Narrow"/>
          <w:b/>
          <w:bCs/>
          <w:sz w:val="72"/>
          <w:szCs w:val="72"/>
        </w:rPr>
        <w:t>Down</w:t>
      </w:r>
      <w:r w:rsidR="00D01D6F">
        <w:rPr>
          <w:rFonts w:ascii="Arial Narrow" w:hAnsi="Arial Narrow"/>
          <w:b/>
          <w:bCs/>
          <w:sz w:val="72"/>
          <w:szCs w:val="72"/>
        </w:rPr>
        <w:t xml:space="preserve"> </w:t>
      </w:r>
      <w:r w:rsidR="00326251">
        <w:rPr>
          <w:rFonts w:ascii="Arial Narrow" w:hAnsi="Arial Narrow"/>
          <w:b/>
          <w:bCs/>
          <w:sz w:val="72"/>
          <w:szCs w:val="72"/>
        </w:rPr>
        <w:t>1</w:t>
      </w:r>
      <w:r w:rsidR="00127EF0" w:rsidRPr="001F5CBD">
        <w:rPr>
          <w:rFonts w:ascii="Arial Narrow" w:hAnsi="Arial Narrow"/>
          <w:b/>
          <w:bCs/>
          <w:sz w:val="72"/>
          <w:szCs w:val="72"/>
        </w:rPr>
        <w:t>%</w:t>
      </w:r>
    </w:p>
    <w:p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360"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70"/>
      </w:tblGrid>
      <w:tr w:rsidR="00E302C4" w:rsidTr="00501774">
        <w:trPr>
          <w:trHeight w:val="443"/>
        </w:trPr>
        <w:tc>
          <w:tcPr>
            <w:tcW w:w="4770" w:type="dxa"/>
            <w:vAlign w:val="center"/>
          </w:tcPr>
          <w:p w:rsidR="00E302C4" w:rsidRPr="00E302C4" w:rsidRDefault="00E302C4" w:rsidP="00E302C4">
            <w:pPr>
              <w:spacing w:before="120" w:after="120"/>
              <w:ind w:left="-115" w:right="-360"/>
              <w:contextualSpacing/>
              <w:rPr>
                <w:rFonts w:ascii="Arial Narrow" w:hAnsi="Arial Narrow"/>
                <w:sz w:val="24"/>
                <w:szCs w:val="24"/>
              </w:rPr>
            </w:pPr>
            <w:r w:rsidRPr="00E302C4">
              <w:rPr>
                <w:rFonts w:ascii="Arial Narrow" w:hAnsi="Arial Narrow"/>
                <w:b/>
                <w:bCs/>
                <w:sz w:val="24"/>
                <w:szCs w:val="24"/>
              </w:rPr>
              <w:t>Market Highlights</w:t>
            </w:r>
          </w:p>
        </w:tc>
      </w:tr>
      <w:tr w:rsidR="00E302C4" w:rsidTr="00501774">
        <w:trPr>
          <w:trHeight w:hRule="exact" w:val="360"/>
        </w:trPr>
        <w:tc>
          <w:tcPr>
            <w:tcW w:w="4770" w:type="dxa"/>
            <w:shd w:val="clear" w:color="auto" w:fill="DEEAF6" w:themeFill="accent1" w:themeFillTint="33"/>
            <w:vAlign w:val="center"/>
          </w:tcPr>
          <w:p w:rsidR="00E302C4" w:rsidRPr="00577F84" w:rsidRDefault="00A25CC3" w:rsidP="007E478A">
            <w:pPr>
              <w:pStyle w:val="ListParagraph"/>
              <w:numPr>
                <w:ilvl w:val="0"/>
                <w:numId w:val="3"/>
              </w:numPr>
              <w:spacing w:after="120"/>
              <w:ind w:left="240" w:right="-360" w:hanging="240"/>
              <w:rPr>
                <w:sz w:val="24"/>
                <w:szCs w:val="24"/>
              </w:rPr>
            </w:pPr>
            <w:r>
              <w:rPr>
                <w:sz w:val="24"/>
                <w:szCs w:val="24"/>
              </w:rPr>
              <w:t>Bad Weather</w:t>
            </w:r>
            <w:r w:rsidR="007E478A">
              <w:rPr>
                <w:sz w:val="24"/>
                <w:szCs w:val="24"/>
              </w:rPr>
              <w:t xml:space="preserve"> in </w:t>
            </w:r>
            <w:r w:rsidR="00326251">
              <w:rPr>
                <w:sz w:val="24"/>
                <w:szCs w:val="24"/>
              </w:rPr>
              <w:t>February</w:t>
            </w:r>
          </w:p>
        </w:tc>
      </w:tr>
      <w:tr w:rsidR="00E302C4" w:rsidTr="00501774">
        <w:trPr>
          <w:trHeight w:hRule="exact" w:val="360"/>
        </w:trPr>
        <w:tc>
          <w:tcPr>
            <w:tcW w:w="4770" w:type="dxa"/>
            <w:shd w:val="clear" w:color="auto" w:fill="DEEAF6" w:themeFill="accent1" w:themeFillTint="33"/>
            <w:vAlign w:val="center"/>
          </w:tcPr>
          <w:p w:rsidR="00E302C4" w:rsidRPr="00577F84" w:rsidRDefault="00A25CC3" w:rsidP="00E93F72">
            <w:pPr>
              <w:pStyle w:val="ListParagraph"/>
              <w:numPr>
                <w:ilvl w:val="0"/>
                <w:numId w:val="3"/>
              </w:numPr>
              <w:spacing w:after="120"/>
              <w:ind w:left="240" w:right="-360" w:hanging="240"/>
              <w:rPr>
                <w:sz w:val="24"/>
                <w:szCs w:val="24"/>
              </w:rPr>
            </w:pPr>
            <w:r>
              <w:rPr>
                <w:sz w:val="24"/>
                <w:szCs w:val="24"/>
              </w:rPr>
              <w:t>2</w:t>
            </w:r>
            <w:r w:rsidRPr="00A25CC3">
              <w:rPr>
                <w:sz w:val="24"/>
                <w:szCs w:val="24"/>
                <w:vertAlign w:val="superscript"/>
              </w:rPr>
              <w:t>nd</w:t>
            </w:r>
            <w:r>
              <w:rPr>
                <w:sz w:val="24"/>
                <w:szCs w:val="24"/>
              </w:rPr>
              <w:t xml:space="preserve"> Highest February Sales Month Since 2006</w:t>
            </w:r>
          </w:p>
        </w:tc>
      </w:tr>
      <w:tr w:rsidR="00E302C4" w:rsidTr="00501774">
        <w:trPr>
          <w:trHeight w:hRule="exact" w:val="360"/>
        </w:trPr>
        <w:tc>
          <w:tcPr>
            <w:tcW w:w="4770" w:type="dxa"/>
            <w:shd w:val="clear" w:color="auto" w:fill="DEEAF6" w:themeFill="accent1" w:themeFillTint="33"/>
            <w:vAlign w:val="center"/>
          </w:tcPr>
          <w:p w:rsidR="00E302C4" w:rsidRDefault="000D45BC" w:rsidP="000D45BC">
            <w:pPr>
              <w:pStyle w:val="ListParagraph"/>
              <w:numPr>
                <w:ilvl w:val="0"/>
                <w:numId w:val="3"/>
              </w:numPr>
              <w:spacing w:after="120"/>
              <w:ind w:left="240" w:right="-360" w:hanging="240"/>
              <w:rPr>
                <w:sz w:val="24"/>
                <w:szCs w:val="24"/>
              </w:rPr>
            </w:pPr>
            <w:r>
              <w:rPr>
                <w:sz w:val="24"/>
                <w:szCs w:val="24"/>
              </w:rPr>
              <w:t>M</w:t>
            </w:r>
            <w:r w:rsidR="006B1AEE">
              <w:rPr>
                <w:sz w:val="24"/>
                <w:szCs w:val="24"/>
              </w:rPr>
              <w:t xml:space="preserve">ore </w:t>
            </w:r>
            <w:r>
              <w:rPr>
                <w:sz w:val="24"/>
                <w:szCs w:val="24"/>
              </w:rPr>
              <w:t>U</w:t>
            </w:r>
            <w:r w:rsidR="006B1AEE">
              <w:rPr>
                <w:sz w:val="24"/>
                <w:szCs w:val="24"/>
              </w:rPr>
              <w:t xml:space="preserve">nits </w:t>
            </w:r>
            <w:r>
              <w:rPr>
                <w:sz w:val="24"/>
                <w:szCs w:val="24"/>
              </w:rPr>
              <w:t>N</w:t>
            </w:r>
            <w:r w:rsidR="006B1AEE">
              <w:rPr>
                <w:sz w:val="24"/>
                <w:szCs w:val="24"/>
              </w:rPr>
              <w:t xml:space="preserve">eeded, </w:t>
            </w:r>
            <w:r>
              <w:rPr>
                <w:sz w:val="24"/>
                <w:szCs w:val="24"/>
              </w:rPr>
              <w:t>Especially U</w:t>
            </w:r>
            <w:r w:rsidR="006B1AEE">
              <w:rPr>
                <w:sz w:val="24"/>
                <w:szCs w:val="24"/>
              </w:rPr>
              <w:t>nder $300K</w:t>
            </w:r>
          </w:p>
        </w:tc>
      </w:tr>
    </w:tbl>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E302C4" w:rsidRDefault="00E302C4" w:rsidP="001F5CBD">
      <w:pPr>
        <w:spacing w:before="120" w:after="120"/>
        <w:ind w:left="-360" w:right="-360"/>
        <w:contextualSpacing/>
        <w:rPr>
          <w:sz w:val="24"/>
          <w:szCs w:val="24"/>
        </w:rPr>
      </w:pPr>
    </w:p>
    <w:p w:rsidR="00E302C4" w:rsidRDefault="00E302C4" w:rsidP="001F5CBD">
      <w:pPr>
        <w:spacing w:before="120" w:after="120"/>
        <w:ind w:left="-360" w:right="-360"/>
        <w:contextualSpacing/>
        <w:rPr>
          <w:sz w:val="24"/>
          <w:szCs w:val="24"/>
        </w:rPr>
      </w:pPr>
    </w:p>
    <w:p w:rsidR="003C35B1" w:rsidRDefault="00326251" w:rsidP="00637D71">
      <w:pPr>
        <w:spacing w:before="120" w:after="120"/>
        <w:ind w:left="-360" w:right="-360"/>
        <w:contextualSpacing/>
        <w:rPr>
          <w:sz w:val="24"/>
          <w:szCs w:val="24"/>
        </w:rPr>
      </w:pPr>
      <w:r>
        <w:rPr>
          <w:sz w:val="24"/>
          <w:szCs w:val="24"/>
        </w:rPr>
        <w:t>March</w:t>
      </w:r>
      <w:r w:rsidR="00366609">
        <w:rPr>
          <w:sz w:val="24"/>
          <w:szCs w:val="24"/>
        </w:rPr>
        <w:t xml:space="preserve"> </w:t>
      </w:r>
      <w:r w:rsidR="00E56F12">
        <w:rPr>
          <w:sz w:val="24"/>
          <w:szCs w:val="24"/>
        </w:rPr>
        <w:t>1</w:t>
      </w:r>
      <w:r>
        <w:rPr>
          <w:sz w:val="24"/>
          <w:szCs w:val="24"/>
        </w:rPr>
        <w:t>2</w:t>
      </w:r>
      <w:r w:rsidR="00127EF0">
        <w:rPr>
          <w:sz w:val="24"/>
          <w:szCs w:val="24"/>
        </w:rPr>
        <w:t>, 201</w:t>
      </w:r>
      <w:r w:rsidR="00366609">
        <w:rPr>
          <w:sz w:val="24"/>
          <w:szCs w:val="24"/>
        </w:rPr>
        <w:t>9</w:t>
      </w:r>
      <w:r w:rsidR="00127EF0">
        <w:rPr>
          <w:sz w:val="24"/>
          <w:szCs w:val="24"/>
        </w:rPr>
        <w:t xml:space="preserve"> – Home sales were </w:t>
      </w:r>
      <w:r w:rsidR="0068075F">
        <w:rPr>
          <w:sz w:val="24"/>
          <w:szCs w:val="24"/>
        </w:rPr>
        <w:t xml:space="preserve">down </w:t>
      </w:r>
      <w:r w:rsidR="003C35B1">
        <w:rPr>
          <w:sz w:val="24"/>
          <w:szCs w:val="24"/>
        </w:rPr>
        <w:t>by 10 units</w:t>
      </w:r>
      <w:r w:rsidR="00036C88">
        <w:rPr>
          <w:sz w:val="24"/>
          <w:szCs w:val="24"/>
        </w:rPr>
        <w:t xml:space="preserve"> </w:t>
      </w:r>
      <w:r w:rsidR="009717AC">
        <w:rPr>
          <w:sz w:val="24"/>
          <w:szCs w:val="24"/>
        </w:rPr>
        <w:t xml:space="preserve">in </w:t>
      </w:r>
      <w:r>
        <w:rPr>
          <w:sz w:val="24"/>
          <w:szCs w:val="24"/>
        </w:rPr>
        <w:t>February</w:t>
      </w:r>
      <w:r w:rsidR="00FE44EA">
        <w:rPr>
          <w:sz w:val="24"/>
          <w:szCs w:val="24"/>
        </w:rPr>
        <w:t xml:space="preserve"> compared to a year earlier</w:t>
      </w:r>
      <w:r w:rsidR="003C35B1">
        <w:rPr>
          <w:sz w:val="24"/>
          <w:szCs w:val="24"/>
        </w:rPr>
        <w:t xml:space="preserve">. </w:t>
      </w:r>
      <w:r w:rsidR="003C35B1">
        <w:rPr>
          <w:sz w:val="24"/>
          <w:szCs w:val="24"/>
        </w:rPr>
        <w:t>There were 1,039 homes sold in February</w:t>
      </w:r>
      <w:r w:rsidR="003C35B1">
        <w:rPr>
          <w:sz w:val="24"/>
          <w:szCs w:val="24"/>
        </w:rPr>
        <w:t xml:space="preserve"> 2019, versus</w:t>
      </w:r>
      <w:r w:rsidR="003C35B1">
        <w:rPr>
          <w:sz w:val="24"/>
          <w:szCs w:val="24"/>
        </w:rPr>
        <w:t xml:space="preserve"> 1,049 units </w:t>
      </w:r>
      <w:r w:rsidR="003C35B1">
        <w:rPr>
          <w:sz w:val="24"/>
          <w:szCs w:val="24"/>
        </w:rPr>
        <w:t>in February 2018</w:t>
      </w:r>
      <w:r w:rsidR="003C35B1">
        <w:rPr>
          <w:sz w:val="24"/>
          <w:szCs w:val="24"/>
        </w:rPr>
        <w:t>.</w:t>
      </w:r>
    </w:p>
    <w:p w:rsidR="003C35B1" w:rsidRDefault="003C35B1" w:rsidP="003C35B1">
      <w:pPr>
        <w:spacing w:before="120" w:after="120"/>
        <w:ind w:left="-360" w:right="-360"/>
        <w:contextualSpacing/>
        <w:rPr>
          <w:sz w:val="24"/>
          <w:szCs w:val="24"/>
        </w:rPr>
      </w:pPr>
    </w:p>
    <w:p w:rsidR="00637D71" w:rsidRDefault="003C35B1" w:rsidP="00637D71">
      <w:pPr>
        <w:spacing w:before="120" w:after="120"/>
        <w:ind w:left="-360" w:right="-360"/>
        <w:contextualSpacing/>
        <w:rPr>
          <w:sz w:val="24"/>
          <w:szCs w:val="24"/>
        </w:rPr>
      </w:pPr>
      <w:r>
        <w:rPr>
          <w:sz w:val="24"/>
          <w:szCs w:val="24"/>
        </w:rPr>
        <w:t xml:space="preserve">Local brokers attribute the lower sales primarily to bad weather in February. The winter months are historically low sales months, and the freezing temps and snow did not help last month. </w:t>
      </w:r>
      <w:r w:rsidR="00853C6E">
        <w:rPr>
          <w:sz w:val="24"/>
          <w:szCs w:val="24"/>
        </w:rPr>
        <w:t xml:space="preserve"> </w:t>
      </w:r>
    </w:p>
    <w:tbl>
      <w:tblPr>
        <w:tblpPr w:leftFromText="180" w:rightFromText="180" w:bottomFromText="115" w:vertAnchor="text" w:horzAnchor="margin" w:tblpX="-360" w:tblpY="194"/>
        <w:tblW w:w="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869"/>
        <w:gridCol w:w="870"/>
        <w:gridCol w:w="1108"/>
        <w:gridCol w:w="339"/>
      </w:tblGrid>
      <w:tr w:rsidR="00036C88" w:rsidRPr="00C41C9C" w:rsidTr="00950F55">
        <w:trPr>
          <w:trHeight w:val="432"/>
        </w:trPr>
        <w:tc>
          <w:tcPr>
            <w:tcW w:w="4896" w:type="dxa"/>
            <w:gridSpan w:val="5"/>
            <w:tcBorders>
              <w:top w:val="nil"/>
              <w:left w:val="nil"/>
              <w:bottom w:val="nil"/>
              <w:right w:val="nil"/>
            </w:tcBorders>
            <w:shd w:val="clear" w:color="auto" w:fill="auto"/>
            <w:tcMar>
              <w:top w:w="0" w:type="dxa"/>
              <w:left w:w="108" w:type="dxa"/>
              <w:bottom w:w="0" w:type="dxa"/>
              <w:right w:w="108" w:type="dxa"/>
            </w:tcMar>
            <w:vAlign w:val="center"/>
            <w:hideMark/>
          </w:tcPr>
          <w:p w:rsidR="00036C88" w:rsidRPr="00754FD0" w:rsidRDefault="00326251" w:rsidP="00036C88">
            <w:pPr>
              <w:spacing w:line="252" w:lineRule="auto"/>
              <w:ind w:left="-108" w:right="85"/>
              <w:rPr>
                <w:rFonts w:ascii="Arial Narrow" w:hAnsi="Arial Narrow"/>
                <w:b/>
                <w:sz w:val="24"/>
                <w:szCs w:val="24"/>
              </w:rPr>
            </w:pPr>
            <w:r>
              <w:rPr>
                <w:rFonts w:ascii="Arial Narrow" w:hAnsi="Arial Narrow"/>
                <w:b/>
                <w:sz w:val="24"/>
                <w:szCs w:val="24"/>
              </w:rPr>
              <w:t>February</w:t>
            </w:r>
            <w:r w:rsidR="00036C88" w:rsidRPr="00754FD0">
              <w:rPr>
                <w:rFonts w:ascii="Arial Narrow" w:hAnsi="Arial Narrow"/>
                <w:b/>
                <w:sz w:val="24"/>
                <w:szCs w:val="24"/>
              </w:rPr>
              <w:t xml:space="preserve"> Sales</w:t>
            </w:r>
          </w:p>
        </w:tc>
      </w:tr>
      <w:tr w:rsidR="00036C88" w:rsidRPr="00C41C9C" w:rsidTr="00807EDC">
        <w:trPr>
          <w:gridAfter w:val="1"/>
          <w:wAfter w:w="339" w:type="dxa"/>
          <w:trHeight w:val="288"/>
        </w:trPr>
        <w:tc>
          <w:tcPr>
            <w:tcW w:w="1710" w:type="dxa"/>
            <w:tcBorders>
              <w:top w:val="nil"/>
              <w:left w:val="nil"/>
              <w:bottom w:val="nil"/>
              <w:right w:val="single" w:sz="12" w:space="0" w:color="FFFFFF"/>
            </w:tcBorders>
            <w:shd w:val="clear" w:color="auto" w:fill="1F4E79" w:themeFill="accent1" w:themeFillShade="80"/>
            <w:vAlign w:val="center"/>
            <w:hideMark/>
          </w:tcPr>
          <w:p w:rsidR="00036C88" w:rsidRPr="00754FD0" w:rsidRDefault="00036C88" w:rsidP="00807EDC">
            <w:pPr>
              <w:ind w:left="175" w:right="100"/>
              <w:rPr>
                <w:b/>
                <w:color w:val="FFFFFF" w:themeColor="background1"/>
              </w:rPr>
            </w:pPr>
            <w:r w:rsidRPr="00754FD0">
              <w:rPr>
                <w:b/>
                <w:color w:val="FFFFFF" w:themeColor="background1"/>
              </w:rPr>
              <w:t>County</w:t>
            </w:r>
          </w:p>
        </w:tc>
        <w:tc>
          <w:tcPr>
            <w:tcW w:w="869"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036C88" w:rsidRPr="00754FD0" w:rsidRDefault="00036C88" w:rsidP="00AF3EAF">
            <w:pPr>
              <w:spacing w:line="207" w:lineRule="atLeast"/>
              <w:ind w:left="44" w:right="62"/>
              <w:rPr>
                <w:color w:val="FFFFFF" w:themeColor="background1"/>
              </w:rPr>
            </w:pPr>
            <w:r w:rsidRPr="00754FD0">
              <w:rPr>
                <w:color w:val="FFFFFF" w:themeColor="background1"/>
              </w:rPr>
              <w:t>201</w:t>
            </w:r>
            <w:r w:rsidR="00AF3EAF">
              <w:rPr>
                <w:color w:val="FFFFFF" w:themeColor="background1"/>
              </w:rPr>
              <w:t>8</w:t>
            </w:r>
          </w:p>
        </w:tc>
        <w:tc>
          <w:tcPr>
            <w:tcW w:w="870"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036C88" w:rsidRPr="00754FD0" w:rsidRDefault="00036C88" w:rsidP="00AF3EAF">
            <w:pPr>
              <w:spacing w:line="207" w:lineRule="atLeast"/>
              <w:ind w:right="-23"/>
              <w:rPr>
                <w:color w:val="FFFFFF" w:themeColor="background1"/>
              </w:rPr>
            </w:pPr>
            <w:r w:rsidRPr="00754FD0">
              <w:rPr>
                <w:color w:val="FFFFFF" w:themeColor="background1"/>
              </w:rPr>
              <w:t>201</w:t>
            </w:r>
            <w:r w:rsidR="00AF3EAF">
              <w:rPr>
                <w:color w:val="FFFFFF" w:themeColor="background1"/>
              </w:rPr>
              <w:t>9</w:t>
            </w:r>
          </w:p>
        </w:tc>
        <w:tc>
          <w:tcPr>
            <w:tcW w:w="1108" w:type="dxa"/>
            <w:tcBorders>
              <w:top w:val="nil"/>
              <w:left w:val="single" w:sz="12" w:space="0" w:color="FFFFFF"/>
              <w:bottom w:val="nil"/>
              <w:right w:val="nil"/>
            </w:tcBorders>
            <w:shd w:val="clear" w:color="auto" w:fill="1F4E79" w:themeFill="accent1" w:themeFillShade="80"/>
            <w:vAlign w:val="center"/>
          </w:tcPr>
          <w:p w:rsidR="00036C88" w:rsidRPr="00754FD0" w:rsidRDefault="00036C88" w:rsidP="00807EDC">
            <w:pPr>
              <w:ind w:left="89" w:right="90"/>
              <w:jc w:val="center"/>
              <w:rPr>
                <w:color w:val="FFFFFF" w:themeColor="background1"/>
              </w:rPr>
            </w:pPr>
            <w:r w:rsidRPr="00754FD0">
              <w:rPr>
                <w:color w:val="FFFFFF" w:themeColor="background1"/>
              </w:rPr>
              <w:t>% Change</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Milwaukee</w:t>
            </w:r>
          </w:p>
        </w:tc>
        <w:tc>
          <w:tcPr>
            <w:tcW w:w="869" w:type="dxa"/>
            <w:tcBorders>
              <w:top w:val="nil"/>
              <w:left w:val="nil"/>
              <w:bottom w:val="nil"/>
              <w:right w:val="nil"/>
            </w:tcBorders>
            <w:shd w:val="clear" w:color="auto" w:fill="auto"/>
            <w:tcMar>
              <w:top w:w="0" w:type="dxa"/>
              <w:left w:w="108" w:type="dxa"/>
              <w:bottom w:w="0" w:type="dxa"/>
              <w:right w:w="108" w:type="dxa"/>
            </w:tcMar>
            <w:vAlign w:val="bottom"/>
          </w:tcPr>
          <w:p w:rsidR="00036C88" w:rsidRPr="00C41C9C" w:rsidRDefault="00326251" w:rsidP="00E56F12">
            <w:pPr>
              <w:spacing w:line="252" w:lineRule="auto"/>
              <w:ind w:left="44" w:right="62"/>
            </w:pPr>
            <w:r>
              <w:t>614</w:t>
            </w:r>
          </w:p>
        </w:tc>
        <w:tc>
          <w:tcPr>
            <w:tcW w:w="870" w:type="dxa"/>
            <w:tcBorders>
              <w:top w:val="nil"/>
              <w:left w:val="nil"/>
              <w:bottom w:val="nil"/>
              <w:right w:val="nil"/>
            </w:tcBorders>
            <w:shd w:val="clear" w:color="auto" w:fill="auto"/>
            <w:tcMar>
              <w:top w:w="0" w:type="dxa"/>
              <w:left w:w="108" w:type="dxa"/>
              <w:bottom w:w="0" w:type="dxa"/>
              <w:right w:w="108" w:type="dxa"/>
            </w:tcMar>
            <w:vAlign w:val="bottom"/>
          </w:tcPr>
          <w:p w:rsidR="00036C88" w:rsidRPr="00C41C9C" w:rsidRDefault="00326251" w:rsidP="00E56F12">
            <w:pPr>
              <w:spacing w:line="252" w:lineRule="auto"/>
              <w:ind w:right="-23"/>
            </w:pPr>
            <w:r>
              <w:t>625</w:t>
            </w:r>
          </w:p>
        </w:tc>
        <w:tc>
          <w:tcPr>
            <w:tcW w:w="1108" w:type="dxa"/>
            <w:tcBorders>
              <w:top w:val="nil"/>
              <w:left w:val="nil"/>
              <w:bottom w:val="nil"/>
              <w:right w:val="nil"/>
            </w:tcBorders>
            <w:shd w:val="clear" w:color="auto" w:fill="auto"/>
            <w:vAlign w:val="center"/>
          </w:tcPr>
          <w:p w:rsidR="00036C88" w:rsidRPr="00C41C9C" w:rsidRDefault="00E56F12" w:rsidP="00326251">
            <w:pPr>
              <w:spacing w:line="252" w:lineRule="auto"/>
              <w:ind w:right="445"/>
              <w:jc w:val="right"/>
            </w:pPr>
            <w:r>
              <w:t>1</w:t>
            </w:r>
            <w:r w:rsidR="00036C88" w:rsidRPr="00C41C9C">
              <w:t>.</w:t>
            </w:r>
            <w:r w:rsidR="00326251">
              <w:t>8</w:t>
            </w:r>
            <w:r w:rsidR="00036C88" w:rsidRPr="00C41C9C">
              <w:t>%</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Waukesha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C41C9C" w:rsidRDefault="00326251" w:rsidP="00E56F12">
            <w:pPr>
              <w:spacing w:line="252" w:lineRule="auto"/>
              <w:ind w:left="44" w:right="62"/>
            </w:pPr>
            <w:r>
              <w:t>266</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C41C9C" w:rsidRDefault="00326251" w:rsidP="00E56F12">
            <w:pPr>
              <w:spacing w:line="252" w:lineRule="auto"/>
              <w:ind w:right="-23"/>
            </w:pPr>
            <w:r>
              <w:t>281</w:t>
            </w:r>
          </w:p>
        </w:tc>
        <w:tc>
          <w:tcPr>
            <w:tcW w:w="1108" w:type="dxa"/>
            <w:tcBorders>
              <w:top w:val="nil"/>
              <w:left w:val="nil"/>
              <w:bottom w:val="nil"/>
              <w:right w:val="nil"/>
            </w:tcBorders>
            <w:shd w:val="clear" w:color="auto" w:fill="DEEAF6" w:themeFill="accent1" w:themeFillTint="33"/>
            <w:vAlign w:val="center"/>
          </w:tcPr>
          <w:p w:rsidR="00036C88" w:rsidRPr="00C41C9C" w:rsidRDefault="00326251" w:rsidP="00AF3EAF">
            <w:pPr>
              <w:spacing w:line="252" w:lineRule="auto"/>
              <w:ind w:right="445"/>
              <w:jc w:val="right"/>
            </w:pPr>
            <w:r>
              <w:t>5.6</w:t>
            </w:r>
            <w:r w:rsidR="00036C88" w:rsidRPr="00C41C9C">
              <w:t>%</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Washington</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036C88" w:rsidRPr="00C41C9C" w:rsidRDefault="00326251" w:rsidP="00036C88">
            <w:pPr>
              <w:spacing w:line="252" w:lineRule="auto"/>
              <w:ind w:left="44" w:right="62"/>
            </w:pPr>
            <w:r>
              <w:t>117</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036C88" w:rsidRPr="00C41C9C" w:rsidRDefault="00326251" w:rsidP="00036C88">
            <w:pPr>
              <w:spacing w:line="252" w:lineRule="auto"/>
              <w:ind w:right="-23"/>
            </w:pPr>
            <w:r>
              <w:t>80</w:t>
            </w:r>
          </w:p>
        </w:tc>
        <w:tc>
          <w:tcPr>
            <w:tcW w:w="1108" w:type="dxa"/>
            <w:tcBorders>
              <w:top w:val="nil"/>
              <w:left w:val="nil"/>
              <w:bottom w:val="nil"/>
              <w:right w:val="nil"/>
            </w:tcBorders>
            <w:shd w:val="clear" w:color="auto" w:fill="auto"/>
            <w:vAlign w:val="center"/>
          </w:tcPr>
          <w:p w:rsidR="00036C88" w:rsidRPr="00C41C9C" w:rsidRDefault="00326251" w:rsidP="00326251">
            <w:pPr>
              <w:spacing w:line="252" w:lineRule="auto"/>
              <w:ind w:right="445"/>
              <w:jc w:val="right"/>
            </w:pPr>
            <w:r>
              <w:t>-31</w:t>
            </w:r>
            <w:r w:rsidR="00AF3EAF">
              <w:t>.</w:t>
            </w:r>
            <w:r>
              <w:t>6</w:t>
            </w:r>
            <w:r w:rsidR="00036C88" w:rsidRPr="00C41C9C">
              <w:t>%</w:t>
            </w:r>
          </w:p>
        </w:tc>
      </w:tr>
      <w:tr w:rsidR="00036C88" w:rsidRPr="00C41C9C" w:rsidTr="00950F55">
        <w:trPr>
          <w:gridAfter w:val="1"/>
          <w:wAfter w:w="339" w:type="dxa"/>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Ozaukee</w:t>
            </w:r>
          </w:p>
        </w:tc>
        <w:tc>
          <w:tcPr>
            <w:tcW w:w="86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036C88" w:rsidRPr="00C41C9C" w:rsidRDefault="00326251" w:rsidP="00036C88">
            <w:pPr>
              <w:spacing w:line="252" w:lineRule="auto"/>
              <w:ind w:left="44" w:right="62"/>
            </w:pPr>
            <w:r>
              <w:t>52</w:t>
            </w:r>
          </w:p>
        </w:tc>
        <w:tc>
          <w:tcPr>
            <w:tcW w:w="87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036C88" w:rsidRPr="00C41C9C" w:rsidRDefault="00326251" w:rsidP="00036C88">
            <w:pPr>
              <w:spacing w:line="252" w:lineRule="auto"/>
              <w:ind w:right="-23"/>
            </w:pPr>
            <w:r>
              <w:t>53</w:t>
            </w:r>
          </w:p>
        </w:tc>
        <w:tc>
          <w:tcPr>
            <w:tcW w:w="1108" w:type="dxa"/>
            <w:tcBorders>
              <w:top w:val="nil"/>
              <w:left w:val="nil"/>
              <w:bottom w:val="single" w:sz="4" w:space="0" w:color="auto"/>
              <w:right w:val="nil"/>
            </w:tcBorders>
            <w:shd w:val="clear" w:color="auto" w:fill="DEEAF6" w:themeFill="accent1" w:themeFillTint="33"/>
            <w:vAlign w:val="center"/>
          </w:tcPr>
          <w:p w:rsidR="00036C88" w:rsidRPr="00C41C9C" w:rsidRDefault="00326251" w:rsidP="00326251">
            <w:pPr>
              <w:spacing w:line="252" w:lineRule="auto"/>
              <w:ind w:right="445"/>
              <w:jc w:val="right"/>
            </w:pPr>
            <w:r>
              <w:t>1</w:t>
            </w:r>
            <w:r w:rsidR="00036C88">
              <w:t>.</w:t>
            </w:r>
            <w:r>
              <w:t>9</w:t>
            </w:r>
            <w:r w:rsidR="00036C88" w:rsidRPr="00C41C9C">
              <w:t>%</w:t>
            </w:r>
          </w:p>
        </w:tc>
      </w:tr>
      <w:tr w:rsidR="00036C88" w:rsidRPr="00C41C9C" w:rsidTr="00950F55">
        <w:trPr>
          <w:gridAfter w:val="1"/>
          <w:wAfter w:w="339" w:type="dxa"/>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4 County Area</w:t>
            </w:r>
          </w:p>
        </w:tc>
        <w:tc>
          <w:tcPr>
            <w:tcW w:w="869"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036C88" w:rsidRPr="00C41C9C" w:rsidRDefault="00AF3EAF" w:rsidP="00326251">
            <w:pPr>
              <w:spacing w:line="252" w:lineRule="auto"/>
              <w:ind w:left="44" w:right="62"/>
            </w:pPr>
            <w:r>
              <w:t>1</w:t>
            </w:r>
            <w:r w:rsidR="00036C88">
              <w:t>,</w:t>
            </w:r>
            <w:r w:rsidR="00326251">
              <w:t>049</w:t>
            </w:r>
          </w:p>
        </w:tc>
        <w:tc>
          <w:tcPr>
            <w:tcW w:w="87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036C88" w:rsidRPr="00C41C9C" w:rsidRDefault="00AF3EAF" w:rsidP="00326251">
            <w:pPr>
              <w:spacing w:line="252" w:lineRule="auto"/>
              <w:ind w:right="-23"/>
            </w:pPr>
            <w:r>
              <w:t>1</w:t>
            </w:r>
            <w:r w:rsidR="00036C88">
              <w:t>,</w:t>
            </w:r>
            <w:r w:rsidR="00326251">
              <w:t>039</w:t>
            </w:r>
          </w:p>
        </w:tc>
        <w:tc>
          <w:tcPr>
            <w:tcW w:w="1108" w:type="dxa"/>
            <w:tcBorders>
              <w:top w:val="single" w:sz="4" w:space="0" w:color="auto"/>
              <w:left w:val="nil"/>
              <w:bottom w:val="nil"/>
              <w:right w:val="nil"/>
            </w:tcBorders>
            <w:shd w:val="clear" w:color="auto" w:fill="auto"/>
            <w:vAlign w:val="center"/>
          </w:tcPr>
          <w:p w:rsidR="00036C88" w:rsidRPr="00C41C9C" w:rsidRDefault="00326251" w:rsidP="00AF3EAF">
            <w:pPr>
              <w:spacing w:line="252" w:lineRule="auto"/>
              <w:ind w:right="445"/>
              <w:jc w:val="right"/>
            </w:pPr>
            <w:r>
              <w:t>-1.0</w:t>
            </w:r>
            <w:r w:rsidR="00036C88" w:rsidRPr="00C41C9C">
              <w:t>%</w:t>
            </w:r>
          </w:p>
        </w:tc>
      </w:tr>
      <w:tr w:rsidR="00036C88" w:rsidRPr="00C41C9C" w:rsidTr="00950F55">
        <w:trPr>
          <w:gridAfter w:val="1"/>
          <w:wAfter w:w="339" w:type="dxa"/>
          <w:trHeight w:val="179"/>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156337" w:rsidRDefault="00036C88" w:rsidP="00036C88">
            <w:pPr>
              <w:spacing w:line="252" w:lineRule="auto"/>
              <w:ind w:left="62" w:right="100"/>
              <w:rPr>
                <w:sz w:val="10"/>
                <w:szCs w:val="10"/>
              </w:rPr>
            </w:pP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156337" w:rsidRDefault="00036C88" w:rsidP="00036C88">
            <w:pPr>
              <w:spacing w:line="252" w:lineRule="auto"/>
              <w:ind w:left="44" w:right="62"/>
              <w:rPr>
                <w:sz w:val="10"/>
                <w:szCs w:val="10"/>
              </w:rPr>
            </w:pP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156337" w:rsidRDefault="00036C88" w:rsidP="00036C88">
            <w:pPr>
              <w:spacing w:line="252" w:lineRule="auto"/>
              <w:ind w:right="-23"/>
              <w:rPr>
                <w:sz w:val="10"/>
                <w:szCs w:val="10"/>
              </w:rPr>
            </w:pPr>
          </w:p>
        </w:tc>
        <w:tc>
          <w:tcPr>
            <w:tcW w:w="1108" w:type="dxa"/>
            <w:tcBorders>
              <w:top w:val="nil"/>
              <w:left w:val="nil"/>
              <w:bottom w:val="nil"/>
              <w:right w:val="nil"/>
            </w:tcBorders>
            <w:shd w:val="clear" w:color="auto" w:fill="DEEAF6" w:themeFill="accent1" w:themeFillTint="33"/>
            <w:vAlign w:val="center"/>
          </w:tcPr>
          <w:p w:rsidR="00036C88" w:rsidRPr="00156337" w:rsidRDefault="00036C88" w:rsidP="00036C88">
            <w:pPr>
              <w:spacing w:line="252" w:lineRule="auto"/>
              <w:ind w:right="445"/>
              <w:jc w:val="right"/>
              <w:rPr>
                <w:sz w:val="10"/>
                <w:szCs w:val="10"/>
              </w:rPr>
            </w:pPr>
          </w:p>
        </w:tc>
      </w:tr>
      <w:tr w:rsidR="00036C88" w:rsidRPr="00C41C9C" w:rsidTr="00950F55">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036C88" w:rsidRPr="00C41C9C" w:rsidRDefault="00036C88" w:rsidP="00036C88">
            <w:pPr>
              <w:spacing w:line="252" w:lineRule="auto"/>
              <w:ind w:left="62" w:right="100"/>
            </w:pPr>
            <w:r>
              <w:t>Racine</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036C88" w:rsidRDefault="00326251" w:rsidP="00036C88">
            <w:pPr>
              <w:spacing w:line="252" w:lineRule="auto"/>
              <w:ind w:left="44" w:right="62"/>
            </w:pPr>
            <w:r>
              <w:t>149</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036C88" w:rsidRDefault="00326251" w:rsidP="001B00EC">
            <w:pPr>
              <w:spacing w:line="252" w:lineRule="auto"/>
              <w:ind w:right="-23"/>
            </w:pPr>
            <w:r>
              <w:t>159</w:t>
            </w:r>
          </w:p>
        </w:tc>
        <w:tc>
          <w:tcPr>
            <w:tcW w:w="1108" w:type="dxa"/>
            <w:tcBorders>
              <w:top w:val="nil"/>
              <w:left w:val="nil"/>
              <w:bottom w:val="nil"/>
              <w:right w:val="nil"/>
            </w:tcBorders>
            <w:shd w:val="clear" w:color="auto" w:fill="auto"/>
            <w:vAlign w:val="center"/>
          </w:tcPr>
          <w:p w:rsidR="00036C88" w:rsidRDefault="00326251" w:rsidP="00C37BF8">
            <w:pPr>
              <w:spacing w:line="252" w:lineRule="auto"/>
              <w:ind w:right="445"/>
              <w:jc w:val="right"/>
            </w:pPr>
            <w:r>
              <w:t>6.7</w:t>
            </w:r>
            <w:r w:rsidR="00036C88">
              <w:t>%</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Default="00036C88" w:rsidP="00036C88">
            <w:pPr>
              <w:spacing w:line="252" w:lineRule="auto"/>
              <w:ind w:left="62" w:right="100"/>
            </w:pPr>
            <w:r>
              <w:t>Kenosha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Default="00326251" w:rsidP="00036C88">
            <w:pPr>
              <w:spacing w:line="252" w:lineRule="auto"/>
              <w:ind w:left="44" w:right="62"/>
            </w:pPr>
            <w:r>
              <w:t>118</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Default="00326251" w:rsidP="00036C88">
            <w:pPr>
              <w:spacing w:line="252" w:lineRule="auto"/>
              <w:ind w:right="-23"/>
            </w:pPr>
            <w:r>
              <w:t>122</w:t>
            </w:r>
          </w:p>
        </w:tc>
        <w:tc>
          <w:tcPr>
            <w:tcW w:w="1108" w:type="dxa"/>
            <w:tcBorders>
              <w:top w:val="nil"/>
              <w:left w:val="nil"/>
              <w:bottom w:val="nil"/>
              <w:right w:val="nil"/>
            </w:tcBorders>
            <w:shd w:val="clear" w:color="auto" w:fill="DEEAF6" w:themeFill="accent1" w:themeFillTint="33"/>
            <w:vAlign w:val="center"/>
          </w:tcPr>
          <w:p w:rsidR="00036C88" w:rsidRDefault="00326251" w:rsidP="00C37BF8">
            <w:pPr>
              <w:spacing w:line="252" w:lineRule="auto"/>
              <w:ind w:right="445"/>
              <w:jc w:val="right"/>
            </w:pPr>
            <w:r>
              <w:t>3.4</w:t>
            </w:r>
            <w:r w:rsidR="00036C88">
              <w:t>%</w:t>
            </w:r>
          </w:p>
        </w:tc>
      </w:tr>
      <w:tr w:rsidR="009F10D6" w:rsidRPr="00C41C9C" w:rsidTr="009F10D6">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9F10D6" w:rsidP="00036C88">
            <w:pPr>
              <w:spacing w:line="252" w:lineRule="auto"/>
              <w:ind w:left="62" w:right="100"/>
            </w:pPr>
            <w:r>
              <w:t>Walworth</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326251" w:rsidP="00036C88">
            <w:pPr>
              <w:spacing w:line="252" w:lineRule="auto"/>
              <w:ind w:left="44" w:right="62"/>
            </w:pPr>
            <w:r>
              <w:t>82</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326251" w:rsidP="00036C88">
            <w:pPr>
              <w:spacing w:line="252" w:lineRule="auto"/>
              <w:ind w:right="-23"/>
            </w:pPr>
            <w:r>
              <w:t>99</w:t>
            </w:r>
          </w:p>
        </w:tc>
        <w:tc>
          <w:tcPr>
            <w:tcW w:w="1108" w:type="dxa"/>
            <w:tcBorders>
              <w:top w:val="nil"/>
              <w:left w:val="nil"/>
              <w:bottom w:val="nil"/>
              <w:right w:val="nil"/>
            </w:tcBorders>
            <w:shd w:val="clear" w:color="auto" w:fill="auto"/>
            <w:vAlign w:val="center"/>
          </w:tcPr>
          <w:p w:rsidR="009F10D6" w:rsidRDefault="00326251" w:rsidP="00C37BF8">
            <w:pPr>
              <w:spacing w:line="252" w:lineRule="auto"/>
              <w:ind w:right="445"/>
              <w:jc w:val="right"/>
            </w:pPr>
            <w:r>
              <w:t>20.7</w:t>
            </w:r>
            <w:r w:rsidR="00EC64B4">
              <w:t>%</w:t>
            </w:r>
          </w:p>
        </w:tc>
      </w:tr>
    </w:tbl>
    <w:p w:rsidR="00637D71" w:rsidRDefault="00637D71" w:rsidP="00A66F2A">
      <w:pPr>
        <w:spacing w:before="120" w:after="120"/>
        <w:ind w:right="-360"/>
        <w:contextualSpacing/>
        <w:rPr>
          <w:sz w:val="24"/>
          <w:szCs w:val="24"/>
        </w:rPr>
      </w:pPr>
    </w:p>
    <w:p w:rsidR="00A25CC3" w:rsidRDefault="00A25CC3" w:rsidP="00ED577D">
      <w:pPr>
        <w:spacing w:before="120" w:after="120"/>
        <w:ind w:left="-360" w:right="-360"/>
        <w:contextualSpacing/>
        <w:rPr>
          <w:sz w:val="24"/>
          <w:szCs w:val="24"/>
        </w:rPr>
      </w:pPr>
      <w:r>
        <w:rPr>
          <w:sz w:val="24"/>
          <w:szCs w:val="24"/>
        </w:rPr>
        <w:t>Nonetheless, since February 2006 (1,155 sales) February 2019 was the second highest February sales month. February 2018 was the highest.</w:t>
      </w:r>
    </w:p>
    <w:p w:rsidR="00A25CC3" w:rsidRDefault="00A25CC3" w:rsidP="00ED577D">
      <w:pPr>
        <w:spacing w:before="120" w:after="120"/>
        <w:ind w:left="-360" w:right="-360"/>
        <w:contextualSpacing/>
        <w:rPr>
          <w:sz w:val="24"/>
          <w:szCs w:val="24"/>
        </w:rPr>
      </w:pPr>
    </w:p>
    <w:p w:rsidR="003C35B1" w:rsidRDefault="003C35B1" w:rsidP="00A25CC3">
      <w:pPr>
        <w:spacing w:before="120" w:after="120"/>
        <w:ind w:left="-360" w:right="-360"/>
        <w:contextualSpacing/>
        <w:rPr>
          <w:sz w:val="24"/>
          <w:szCs w:val="24"/>
        </w:rPr>
      </w:pPr>
      <w:r>
        <w:rPr>
          <w:sz w:val="24"/>
          <w:szCs w:val="24"/>
        </w:rPr>
        <w:t xml:space="preserve">The fact that sales were only 10 units behind 2018, and the weather was horrible, means there is a healthy amount of demand for homes by those seeking them. </w:t>
      </w:r>
    </w:p>
    <w:p w:rsidR="003C35B1" w:rsidRDefault="003C35B1" w:rsidP="00A25CC3">
      <w:pPr>
        <w:spacing w:before="120" w:after="120"/>
        <w:ind w:left="-360" w:right="-360"/>
        <w:contextualSpacing/>
        <w:rPr>
          <w:sz w:val="24"/>
          <w:szCs w:val="24"/>
        </w:rPr>
      </w:pPr>
    </w:p>
    <w:p w:rsidR="009F10D6" w:rsidRDefault="003C35B1" w:rsidP="00A25CC3">
      <w:pPr>
        <w:spacing w:before="120" w:after="120"/>
        <w:ind w:left="-360" w:right="-360"/>
        <w:contextualSpacing/>
        <w:rPr>
          <w:sz w:val="24"/>
          <w:szCs w:val="24"/>
        </w:rPr>
      </w:pPr>
      <w:r>
        <w:rPr>
          <w:sz w:val="24"/>
          <w:szCs w:val="24"/>
        </w:rPr>
        <w:t xml:space="preserve">A healthy segment of the demand is among </w:t>
      </w:r>
      <w:r>
        <w:rPr>
          <w:sz w:val="24"/>
          <w:szCs w:val="24"/>
        </w:rPr>
        <w:t xml:space="preserve">first-time and empty nester buyers, but there simply are not enough listings available, particularly </w:t>
      </w:r>
      <w:r>
        <w:rPr>
          <w:sz w:val="24"/>
          <w:szCs w:val="24"/>
        </w:rPr>
        <w:t xml:space="preserve">those </w:t>
      </w:r>
      <w:r>
        <w:rPr>
          <w:sz w:val="24"/>
          <w:szCs w:val="24"/>
        </w:rPr>
        <w:t>under $300,000</w:t>
      </w:r>
      <w:r w:rsidR="00FE44EA">
        <w:rPr>
          <w:sz w:val="24"/>
          <w:szCs w:val="24"/>
        </w:rPr>
        <w:t>, to satisfy that demand</w:t>
      </w:r>
      <w:r>
        <w:rPr>
          <w:sz w:val="24"/>
          <w:szCs w:val="24"/>
        </w:rPr>
        <w:t>.</w:t>
      </w:r>
    </w:p>
    <w:p w:rsidR="009F10D6" w:rsidRDefault="009F10D6" w:rsidP="00ED577D">
      <w:pPr>
        <w:spacing w:before="120" w:after="120"/>
        <w:ind w:left="-360" w:right="-360"/>
        <w:contextualSpacing/>
        <w:rPr>
          <w:sz w:val="24"/>
          <w:szCs w:val="24"/>
        </w:rPr>
      </w:pPr>
    </w:p>
    <w:p w:rsidR="00AF3EAF" w:rsidRDefault="00156337" w:rsidP="00AF3EAF">
      <w:pPr>
        <w:spacing w:before="120" w:after="120"/>
        <w:ind w:left="-360" w:right="-360"/>
        <w:contextualSpacing/>
        <w:rPr>
          <w:sz w:val="24"/>
          <w:szCs w:val="24"/>
        </w:rPr>
      </w:pPr>
      <w:r w:rsidRPr="00156337">
        <w:rPr>
          <w:b/>
          <w:sz w:val="24"/>
          <w:szCs w:val="24"/>
          <w:u w:val="single"/>
        </w:rPr>
        <w:t>Listings</w:t>
      </w:r>
      <w:r w:rsidR="00AF3EAF" w:rsidRPr="00AF3EAF">
        <w:rPr>
          <w:sz w:val="24"/>
          <w:szCs w:val="24"/>
        </w:rPr>
        <w:t xml:space="preserve"> </w:t>
      </w:r>
    </w:p>
    <w:p w:rsidR="001347B5" w:rsidRDefault="003C35B1" w:rsidP="00AF3EAF">
      <w:pPr>
        <w:spacing w:before="120" w:after="120"/>
        <w:ind w:left="-360" w:right="-360"/>
        <w:contextualSpacing/>
        <w:rPr>
          <w:sz w:val="24"/>
          <w:szCs w:val="24"/>
        </w:rPr>
      </w:pPr>
      <w:r>
        <w:rPr>
          <w:sz w:val="24"/>
          <w:szCs w:val="24"/>
        </w:rPr>
        <w:t>Many homes listed in February will become sales in March</w:t>
      </w:r>
      <w:r>
        <w:rPr>
          <w:sz w:val="24"/>
          <w:szCs w:val="24"/>
        </w:rPr>
        <w:t xml:space="preserve"> and April</w:t>
      </w:r>
      <w:r>
        <w:rPr>
          <w:sz w:val="24"/>
          <w:szCs w:val="24"/>
        </w:rPr>
        <w:t>.</w:t>
      </w:r>
      <w:r>
        <w:rPr>
          <w:sz w:val="24"/>
          <w:szCs w:val="24"/>
        </w:rPr>
        <w:t xml:space="preserve"> </w:t>
      </w:r>
      <w:r w:rsidR="00063605">
        <w:rPr>
          <w:sz w:val="24"/>
          <w:szCs w:val="24"/>
        </w:rPr>
        <w:t xml:space="preserve">The fact that listings in February were anemic spells a tight sales market on the horizon. </w:t>
      </w:r>
    </w:p>
    <w:p w:rsidR="00063605" w:rsidRDefault="00063605" w:rsidP="00AF3EAF">
      <w:pPr>
        <w:spacing w:before="120" w:after="120"/>
        <w:ind w:left="-360" w:right="-360"/>
        <w:contextualSpacing/>
        <w:rPr>
          <w:sz w:val="24"/>
          <w:szCs w:val="24"/>
        </w:rPr>
      </w:pPr>
    </w:p>
    <w:p w:rsidR="00063605" w:rsidRDefault="00063605" w:rsidP="00AF3EAF">
      <w:pPr>
        <w:spacing w:before="120" w:after="120"/>
        <w:ind w:left="-360" w:right="-360"/>
        <w:contextualSpacing/>
        <w:rPr>
          <w:sz w:val="24"/>
          <w:szCs w:val="24"/>
        </w:rPr>
      </w:pPr>
      <w:r>
        <w:rPr>
          <w:sz w:val="24"/>
          <w:szCs w:val="24"/>
        </w:rPr>
        <w:t>Nationally, prices are predicted to increase in the low single digits, however, locally, prices may go slightly higher as more buyers chase fewer properties. There are factors that will limit price increases,</w:t>
      </w:r>
      <w:r w:rsidRPr="00063605">
        <w:rPr>
          <w:sz w:val="24"/>
          <w:szCs w:val="24"/>
        </w:rPr>
        <w:t xml:space="preserve"> </w:t>
      </w:r>
      <w:r>
        <w:rPr>
          <w:sz w:val="24"/>
          <w:szCs w:val="24"/>
        </w:rPr>
        <w:t>though.</w:t>
      </w:r>
    </w:p>
    <w:p w:rsidR="001347B5" w:rsidRDefault="001347B5" w:rsidP="00AF3EAF">
      <w:pPr>
        <w:spacing w:before="120" w:after="120"/>
        <w:ind w:left="-360" w:right="-360"/>
        <w:contextualSpacing/>
        <w:rPr>
          <w:sz w:val="24"/>
          <w:szCs w:val="24"/>
        </w:rPr>
      </w:pPr>
    </w:p>
    <w:p w:rsidR="000D45BC" w:rsidRDefault="00063605" w:rsidP="000D45BC">
      <w:pPr>
        <w:spacing w:before="120" w:after="120"/>
        <w:ind w:left="-360" w:right="-360"/>
        <w:contextualSpacing/>
        <w:rPr>
          <w:sz w:val="24"/>
          <w:szCs w:val="24"/>
        </w:rPr>
      </w:pPr>
      <w:r>
        <w:rPr>
          <w:sz w:val="24"/>
          <w:szCs w:val="24"/>
        </w:rPr>
        <w:lastRenderedPageBreak/>
        <w:t xml:space="preserve">Buyers’ </w:t>
      </w:r>
      <w:r w:rsidR="009B3EAE">
        <w:rPr>
          <w:sz w:val="24"/>
          <w:szCs w:val="24"/>
        </w:rPr>
        <w:t>in</w:t>
      </w:r>
      <w:r>
        <w:rPr>
          <w:sz w:val="24"/>
          <w:szCs w:val="24"/>
        </w:rPr>
        <w:t xml:space="preserve">ability to increase their offer has a significant limiting effect on price increases; particularly properties </w:t>
      </w:r>
      <w:r w:rsidR="009B3EAE">
        <w:rPr>
          <w:sz w:val="24"/>
          <w:szCs w:val="24"/>
        </w:rPr>
        <w:t>tradition</w:t>
      </w:r>
      <w:r>
        <w:rPr>
          <w:sz w:val="24"/>
          <w:szCs w:val="24"/>
        </w:rPr>
        <w:t>ally considered “first-time” buyer properties, which in the current market are generally those under $300,000. With 40% of the market consisting of first-time buyers, they have a cap on what they can add to their offer before losing a property.</w:t>
      </w:r>
    </w:p>
    <w:tbl>
      <w:tblPr>
        <w:tblpPr w:leftFromText="180" w:rightFromText="180" w:bottomFromText="115" w:vertAnchor="text" w:horzAnchor="margin" w:tblpX="-360" w:tblpY="555"/>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900"/>
        <w:gridCol w:w="810"/>
        <w:gridCol w:w="1170"/>
      </w:tblGrid>
      <w:tr w:rsidR="005D6EC3" w:rsidRPr="00C41C9C" w:rsidTr="00807EDC">
        <w:trPr>
          <w:trHeight w:val="432"/>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rsidR="005D6EC3" w:rsidRPr="00754FD0" w:rsidRDefault="00326251" w:rsidP="00950F55">
            <w:pPr>
              <w:spacing w:line="252" w:lineRule="auto"/>
              <w:ind w:left="-108" w:right="85"/>
              <w:rPr>
                <w:rFonts w:ascii="Arial Narrow" w:hAnsi="Arial Narrow"/>
                <w:b/>
                <w:sz w:val="24"/>
                <w:szCs w:val="24"/>
              </w:rPr>
            </w:pPr>
            <w:r>
              <w:rPr>
                <w:rFonts w:ascii="Arial Narrow" w:hAnsi="Arial Narrow"/>
                <w:b/>
                <w:sz w:val="24"/>
                <w:szCs w:val="24"/>
              </w:rPr>
              <w:t>February</w:t>
            </w:r>
            <w:r w:rsidR="005D6EC3" w:rsidRPr="00754FD0">
              <w:rPr>
                <w:rFonts w:ascii="Arial Narrow" w:hAnsi="Arial Narrow"/>
                <w:b/>
                <w:sz w:val="24"/>
                <w:szCs w:val="24"/>
              </w:rPr>
              <w:t xml:space="preserve"> </w:t>
            </w:r>
            <w:r w:rsidR="005D6EC3">
              <w:rPr>
                <w:rFonts w:ascii="Arial Narrow" w:hAnsi="Arial Narrow"/>
                <w:b/>
                <w:sz w:val="24"/>
                <w:szCs w:val="24"/>
              </w:rPr>
              <w:t>Listings</w:t>
            </w:r>
          </w:p>
        </w:tc>
      </w:tr>
      <w:tr w:rsidR="005D6EC3" w:rsidRPr="00C41C9C" w:rsidTr="00807EDC">
        <w:trPr>
          <w:trHeight w:val="288"/>
        </w:trPr>
        <w:tc>
          <w:tcPr>
            <w:tcW w:w="1710"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rsidR="005D6EC3" w:rsidRPr="00754FD0" w:rsidRDefault="005D6EC3" w:rsidP="00807EDC">
            <w:pPr>
              <w:ind w:left="175" w:right="100"/>
              <w:rPr>
                <w:b/>
                <w:color w:val="FFFFFF" w:themeColor="background1"/>
              </w:rPr>
            </w:pPr>
            <w:r w:rsidRPr="00754FD0">
              <w:rPr>
                <w:b/>
                <w:color w:val="FFFFFF" w:themeColor="background1"/>
              </w:rPr>
              <w:t>County</w:t>
            </w:r>
          </w:p>
        </w:tc>
        <w:tc>
          <w:tcPr>
            <w:tcW w:w="90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5D6EC3" w:rsidRPr="00754FD0" w:rsidRDefault="005D6EC3" w:rsidP="00AF3EAF">
            <w:pPr>
              <w:spacing w:line="207" w:lineRule="atLeast"/>
              <w:ind w:left="44" w:right="62"/>
              <w:rPr>
                <w:color w:val="FFFFFF" w:themeColor="background1"/>
              </w:rPr>
            </w:pPr>
            <w:r w:rsidRPr="00754FD0">
              <w:rPr>
                <w:color w:val="FFFFFF" w:themeColor="background1"/>
              </w:rPr>
              <w:t>201</w:t>
            </w:r>
            <w:r w:rsidR="00AF3EAF">
              <w:rPr>
                <w:color w:val="FFFFFF" w:themeColor="background1"/>
              </w:rPr>
              <w:t>8</w:t>
            </w:r>
          </w:p>
        </w:tc>
        <w:tc>
          <w:tcPr>
            <w:tcW w:w="81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5D6EC3" w:rsidRPr="00754FD0" w:rsidRDefault="005D6EC3" w:rsidP="00AF3EAF">
            <w:pPr>
              <w:spacing w:line="207" w:lineRule="atLeast"/>
              <w:ind w:right="-23"/>
              <w:rPr>
                <w:color w:val="FFFFFF" w:themeColor="background1"/>
              </w:rPr>
            </w:pPr>
            <w:r w:rsidRPr="00754FD0">
              <w:rPr>
                <w:color w:val="FFFFFF" w:themeColor="background1"/>
              </w:rPr>
              <w:t>201</w:t>
            </w:r>
            <w:r w:rsidR="00AF3EAF">
              <w:rPr>
                <w:color w:val="FFFFFF" w:themeColor="background1"/>
              </w:rPr>
              <w:t>9</w:t>
            </w:r>
          </w:p>
        </w:tc>
        <w:tc>
          <w:tcPr>
            <w:tcW w:w="1170" w:type="dxa"/>
            <w:tcBorders>
              <w:top w:val="single" w:sz="12" w:space="0" w:color="FFFFFF" w:themeColor="background1"/>
              <w:left w:val="single" w:sz="12" w:space="0" w:color="FFFFFF" w:themeColor="background1"/>
              <w:bottom w:val="nil"/>
            </w:tcBorders>
            <w:shd w:val="clear" w:color="auto" w:fill="1F4E79" w:themeFill="accent1" w:themeFillShade="80"/>
            <w:vAlign w:val="center"/>
          </w:tcPr>
          <w:p w:rsidR="005D6EC3" w:rsidRPr="00754FD0" w:rsidRDefault="005D6EC3" w:rsidP="00807EDC">
            <w:pPr>
              <w:ind w:left="89" w:right="90"/>
              <w:jc w:val="center"/>
              <w:rPr>
                <w:color w:val="FFFFFF" w:themeColor="background1"/>
              </w:rPr>
            </w:pPr>
            <w:r w:rsidRPr="00754FD0">
              <w:rPr>
                <w:color w:val="FFFFFF" w:themeColor="background1"/>
              </w:rPr>
              <w:t>% Change</w:t>
            </w:r>
          </w:p>
        </w:tc>
      </w:tr>
      <w:tr w:rsidR="005D6EC3"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Milwaukee</w:t>
            </w:r>
          </w:p>
        </w:tc>
        <w:tc>
          <w:tcPr>
            <w:tcW w:w="900" w:type="dxa"/>
            <w:tcBorders>
              <w:top w:val="nil"/>
              <w:left w:val="nil"/>
              <w:bottom w:val="nil"/>
              <w:right w:val="nil"/>
            </w:tcBorders>
            <w:shd w:val="clear" w:color="auto" w:fill="auto"/>
            <w:tcMar>
              <w:top w:w="0" w:type="dxa"/>
              <w:left w:w="108" w:type="dxa"/>
              <w:bottom w:w="0" w:type="dxa"/>
              <w:right w:w="108" w:type="dxa"/>
            </w:tcMar>
            <w:vAlign w:val="bottom"/>
          </w:tcPr>
          <w:p w:rsidR="005D6EC3" w:rsidRPr="00C41C9C" w:rsidRDefault="00326251" w:rsidP="00950F55">
            <w:pPr>
              <w:spacing w:line="252" w:lineRule="auto"/>
              <w:ind w:left="44" w:right="62"/>
            </w:pPr>
            <w:r>
              <w:t>1,063</w:t>
            </w:r>
          </w:p>
        </w:tc>
        <w:tc>
          <w:tcPr>
            <w:tcW w:w="810" w:type="dxa"/>
            <w:tcBorders>
              <w:top w:val="nil"/>
              <w:left w:val="nil"/>
              <w:bottom w:val="nil"/>
              <w:right w:val="nil"/>
            </w:tcBorders>
            <w:shd w:val="clear" w:color="auto" w:fill="auto"/>
            <w:tcMar>
              <w:top w:w="0" w:type="dxa"/>
              <w:left w:w="108" w:type="dxa"/>
              <w:bottom w:w="0" w:type="dxa"/>
              <w:right w:w="108" w:type="dxa"/>
            </w:tcMar>
            <w:vAlign w:val="bottom"/>
          </w:tcPr>
          <w:p w:rsidR="005D6EC3" w:rsidRPr="00C41C9C" w:rsidRDefault="00326251" w:rsidP="001B00EC">
            <w:pPr>
              <w:spacing w:line="252" w:lineRule="auto"/>
              <w:ind w:right="-23"/>
            </w:pPr>
            <w:r>
              <w:t>886</w:t>
            </w:r>
          </w:p>
        </w:tc>
        <w:tc>
          <w:tcPr>
            <w:tcW w:w="1170" w:type="dxa"/>
            <w:tcBorders>
              <w:top w:val="nil"/>
              <w:left w:val="nil"/>
              <w:bottom w:val="nil"/>
              <w:right w:val="nil"/>
            </w:tcBorders>
            <w:shd w:val="clear" w:color="auto" w:fill="auto"/>
            <w:vAlign w:val="center"/>
          </w:tcPr>
          <w:p w:rsidR="005D6EC3" w:rsidRPr="00C41C9C" w:rsidRDefault="00326251" w:rsidP="00326251">
            <w:pPr>
              <w:spacing w:line="252" w:lineRule="auto"/>
              <w:ind w:left="95" w:right="445"/>
              <w:jc w:val="right"/>
            </w:pPr>
            <w:r>
              <w:t>-16</w:t>
            </w:r>
            <w:r w:rsidR="000D45BC">
              <w:t>.</w:t>
            </w:r>
            <w:r>
              <w:t>7</w:t>
            </w:r>
            <w:r w:rsidR="005D6EC3" w:rsidRPr="00C41C9C">
              <w:t>%</w:t>
            </w:r>
          </w:p>
        </w:tc>
      </w:tr>
      <w:tr w:rsidR="005D6EC3" w:rsidRPr="00C41C9C" w:rsidTr="00807EDC">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Waukesha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326251" w:rsidP="001B00EC">
            <w:pPr>
              <w:spacing w:line="252" w:lineRule="auto"/>
              <w:ind w:left="44" w:right="62"/>
            </w:pPr>
            <w:r>
              <w:t>438</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326251" w:rsidP="001B00EC">
            <w:pPr>
              <w:spacing w:line="252" w:lineRule="auto"/>
              <w:ind w:right="-23"/>
            </w:pPr>
            <w:r>
              <w:t>407</w:t>
            </w:r>
          </w:p>
        </w:tc>
        <w:tc>
          <w:tcPr>
            <w:tcW w:w="1170" w:type="dxa"/>
            <w:tcBorders>
              <w:top w:val="nil"/>
              <w:left w:val="nil"/>
              <w:bottom w:val="nil"/>
              <w:right w:val="nil"/>
            </w:tcBorders>
            <w:shd w:val="clear" w:color="auto" w:fill="DEEAF6" w:themeFill="accent1" w:themeFillTint="33"/>
            <w:vAlign w:val="center"/>
          </w:tcPr>
          <w:p w:rsidR="005D6EC3" w:rsidRPr="00C41C9C" w:rsidRDefault="00326251" w:rsidP="00326251">
            <w:pPr>
              <w:spacing w:line="252" w:lineRule="auto"/>
              <w:ind w:left="95" w:right="445"/>
              <w:jc w:val="right"/>
            </w:pPr>
            <w:r>
              <w:t>-7</w:t>
            </w:r>
            <w:r w:rsidR="005D6EC3">
              <w:t>.</w:t>
            </w:r>
            <w:r>
              <w:t>1</w:t>
            </w:r>
            <w:r w:rsidR="005D6EC3" w:rsidRPr="00C41C9C">
              <w:t>%</w:t>
            </w:r>
          </w:p>
        </w:tc>
      </w:tr>
      <w:tr w:rsidR="005D6EC3"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Washington</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326251" w:rsidP="00950F55">
            <w:pPr>
              <w:spacing w:line="252" w:lineRule="auto"/>
              <w:ind w:left="44" w:right="62"/>
            </w:pPr>
            <w:r>
              <w:t>151</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326251" w:rsidP="001B00EC">
            <w:pPr>
              <w:spacing w:line="252" w:lineRule="auto"/>
              <w:ind w:right="-23"/>
            </w:pPr>
            <w:r>
              <w:t>131</w:t>
            </w:r>
          </w:p>
        </w:tc>
        <w:tc>
          <w:tcPr>
            <w:tcW w:w="1170" w:type="dxa"/>
            <w:tcBorders>
              <w:top w:val="nil"/>
              <w:left w:val="nil"/>
              <w:bottom w:val="nil"/>
              <w:right w:val="nil"/>
            </w:tcBorders>
            <w:shd w:val="clear" w:color="auto" w:fill="auto"/>
            <w:vAlign w:val="center"/>
          </w:tcPr>
          <w:p w:rsidR="005D6EC3" w:rsidRPr="00C41C9C" w:rsidRDefault="005D6EC3" w:rsidP="000D45BC">
            <w:pPr>
              <w:spacing w:line="252" w:lineRule="auto"/>
              <w:ind w:left="95" w:right="445"/>
              <w:jc w:val="right"/>
            </w:pPr>
            <w:r>
              <w:t>-</w:t>
            </w:r>
            <w:r w:rsidR="00326251">
              <w:t>13.2</w:t>
            </w:r>
            <w:r w:rsidRPr="00C41C9C">
              <w:t>%</w:t>
            </w:r>
          </w:p>
        </w:tc>
      </w:tr>
      <w:tr w:rsidR="005D6EC3" w:rsidRPr="00C41C9C" w:rsidTr="00807EDC">
        <w:trPr>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Ozaukee</w:t>
            </w:r>
          </w:p>
        </w:tc>
        <w:tc>
          <w:tcPr>
            <w:tcW w:w="90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D6EC3" w:rsidRPr="00C41C9C" w:rsidRDefault="00326251" w:rsidP="00950F55">
            <w:pPr>
              <w:spacing w:line="252" w:lineRule="auto"/>
              <w:ind w:left="44" w:right="62"/>
            </w:pPr>
            <w:r>
              <w:t>128</w:t>
            </w:r>
          </w:p>
        </w:tc>
        <w:tc>
          <w:tcPr>
            <w:tcW w:w="8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D6EC3" w:rsidRPr="00C41C9C" w:rsidRDefault="00326251" w:rsidP="001B00EC">
            <w:pPr>
              <w:spacing w:line="252" w:lineRule="auto"/>
              <w:ind w:right="-23"/>
            </w:pPr>
            <w:r>
              <w:t>99</w:t>
            </w:r>
          </w:p>
        </w:tc>
        <w:tc>
          <w:tcPr>
            <w:tcW w:w="1170" w:type="dxa"/>
            <w:tcBorders>
              <w:top w:val="nil"/>
              <w:left w:val="nil"/>
              <w:bottom w:val="single" w:sz="4" w:space="0" w:color="auto"/>
              <w:right w:val="nil"/>
            </w:tcBorders>
            <w:shd w:val="clear" w:color="auto" w:fill="DEEAF6" w:themeFill="accent1" w:themeFillTint="33"/>
            <w:vAlign w:val="center"/>
          </w:tcPr>
          <w:p w:rsidR="005D6EC3" w:rsidRPr="00C41C9C" w:rsidRDefault="005D6EC3" w:rsidP="000D45BC">
            <w:pPr>
              <w:spacing w:line="252" w:lineRule="auto"/>
              <w:ind w:left="95" w:right="445"/>
              <w:jc w:val="right"/>
            </w:pPr>
            <w:r w:rsidRPr="00C41C9C">
              <w:t>-</w:t>
            </w:r>
            <w:r w:rsidR="00326251">
              <w:t>22.7</w:t>
            </w:r>
            <w:r w:rsidRPr="00C41C9C">
              <w:t>%</w:t>
            </w:r>
          </w:p>
        </w:tc>
      </w:tr>
      <w:tr w:rsidR="005D6EC3" w:rsidRPr="00C41C9C" w:rsidTr="00807EDC">
        <w:trPr>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4 County Area</w:t>
            </w:r>
          </w:p>
        </w:tc>
        <w:tc>
          <w:tcPr>
            <w:tcW w:w="90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D6EC3" w:rsidRPr="00C41C9C" w:rsidRDefault="00326251" w:rsidP="000D45BC">
            <w:pPr>
              <w:spacing w:line="252" w:lineRule="auto"/>
              <w:ind w:left="44" w:right="62"/>
            </w:pPr>
            <w:r>
              <w:t>1,780</w:t>
            </w:r>
          </w:p>
        </w:tc>
        <w:tc>
          <w:tcPr>
            <w:tcW w:w="81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D6EC3" w:rsidRPr="00C41C9C" w:rsidRDefault="000D45BC" w:rsidP="000D45BC">
            <w:pPr>
              <w:spacing w:line="252" w:lineRule="auto"/>
              <w:ind w:right="-23"/>
            </w:pPr>
            <w:r>
              <w:t>1</w:t>
            </w:r>
            <w:r w:rsidR="005D6EC3">
              <w:t>,</w:t>
            </w:r>
            <w:r w:rsidR="00326251">
              <w:t>523</w:t>
            </w:r>
          </w:p>
        </w:tc>
        <w:tc>
          <w:tcPr>
            <w:tcW w:w="1170" w:type="dxa"/>
            <w:tcBorders>
              <w:top w:val="single" w:sz="4" w:space="0" w:color="auto"/>
              <w:left w:val="nil"/>
              <w:bottom w:val="nil"/>
              <w:right w:val="nil"/>
            </w:tcBorders>
            <w:shd w:val="clear" w:color="auto" w:fill="auto"/>
            <w:vAlign w:val="center"/>
          </w:tcPr>
          <w:p w:rsidR="005D6EC3" w:rsidRPr="00C41C9C" w:rsidRDefault="00326251" w:rsidP="000D45BC">
            <w:pPr>
              <w:spacing w:line="252" w:lineRule="auto"/>
              <w:ind w:left="95" w:right="445"/>
              <w:jc w:val="right"/>
            </w:pPr>
            <w:r>
              <w:t>-14.4</w:t>
            </w:r>
            <w:r w:rsidR="005D6EC3" w:rsidRPr="00C41C9C">
              <w:t>%</w:t>
            </w:r>
          </w:p>
        </w:tc>
      </w:tr>
      <w:tr w:rsidR="005D6EC3" w:rsidRPr="00C41C9C" w:rsidTr="00807EDC">
        <w:trPr>
          <w:trHeight w:val="144"/>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156337" w:rsidRDefault="005D6EC3" w:rsidP="00950F55">
            <w:pPr>
              <w:spacing w:line="252" w:lineRule="auto"/>
              <w:ind w:left="62" w:right="100"/>
              <w:rPr>
                <w:sz w:val="10"/>
                <w:szCs w:val="10"/>
              </w:rPr>
            </w:pP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156337" w:rsidRDefault="005D6EC3" w:rsidP="00950F55">
            <w:pPr>
              <w:spacing w:line="252" w:lineRule="auto"/>
              <w:ind w:left="44" w:right="62"/>
              <w:rPr>
                <w:sz w:val="10"/>
                <w:szCs w:val="10"/>
              </w:rPr>
            </w:pP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156337" w:rsidRDefault="005D6EC3" w:rsidP="00950F55">
            <w:pPr>
              <w:spacing w:line="252" w:lineRule="auto"/>
              <w:ind w:right="-23"/>
              <w:rPr>
                <w:sz w:val="10"/>
                <w:szCs w:val="10"/>
              </w:rPr>
            </w:pPr>
          </w:p>
        </w:tc>
        <w:tc>
          <w:tcPr>
            <w:tcW w:w="1170" w:type="dxa"/>
            <w:tcBorders>
              <w:top w:val="nil"/>
              <w:left w:val="nil"/>
              <w:bottom w:val="nil"/>
              <w:right w:val="nil"/>
            </w:tcBorders>
            <w:shd w:val="clear" w:color="auto" w:fill="DEEAF6" w:themeFill="accent1" w:themeFillTint="33"/>
            <w:vAlign w:val="center"/>
          </w:tcPr>
          <w:p w:rsidR="005D6EC3" w:rsidRPr="00156337" w:rsidRDefault="005D6EC3" w:rsidP="00950F55">
            <w:pPr>
              <w:spacing w:line="252" w:lineRule="auto"/>
              <w:ind w:left="95" w:right="445"/>
              <w:jc w:val="right"/>
              <w:rPr>
                <w:sz w:val="10"/>
                <w:szCs w:val="10"/>
              </w:rPr>
            </w:pPr>
          </w:p>
        </w:tc>
      </w:tr>
      <w:tr w:rsidR="005D6EC3"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5D6EC3" w:rsidP="00950F55">
            <w:pPr>
              <w:spacing w:line="252" w:lineRule="auto"/>
              <w:ind w:left="62" w:right="100"/>
            </w:pPr>
            <w:r>
              <w:t>Racine</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326251" w:rsidP="00950F55">
            <w:pPr>
              <w:spacing w:line="252" w:lineRule="auto"/>
              <w:ind w:left="44" w:right="62"/>
            </w:pPr>
            <w:r>
              <w:t>181</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326251" w:rsidP="001B00EC">
            <w:pPr>
              <w:spacing w:line="252" w:lineRule="auto"/>
              <w:ind w:right="-23"/>
            </w:pPr>
            <w:r>
              <w:t>196</w:t>
            </w:r>
          </w:p>
        </w:tc>
        <w:tc>
          <w:tcPr>
            <w:tcW w:w="1170" w:type="dxa"/>
            <w:tcBorders>
              <w:top w:val="nil"/>
              <w:left w:val="nil"/>
              <w:bottom w:val="nil"/>
              <w:right w:val="nil"/>
            </w:tcBorders>
            <w:shd w:val="clear" w:color="auto" w:fill="auto"/>
            <w:vAlign w:val="center"/>
          </w:tcPr>
          <w:p w:rsidR="005D6EC3" w:rsidRPr="00C41C9C" w:rsidRDefault="00326251" w:rsidP="000D45BC">
            <w:pPr>
              <w:spacing w:line="252" w:lineRule="auto"/>
              <w:ind w:left="95" w:right="445"/>
              <w:jc w:val="right"/>
            </w:pPr>
            <w:r>
              <w:t>8.3</w:t>
            </w:r>
            <w:r w:rsidR="005D6EC3">
              <w:t>%</w:t>
            </w:r>
          </w:p>
        </w:tc>
      </w:tr>
      <w:tr w:rsidR="005D6EC3" w:rsidRPr="00C41C9C" w:rsidTr="00807EDC">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5D6EC3" w:rsidP="00950F55">
            <w:pPr>
              <w:spacing w:line="252" w:lineRule="auto"/>
              <w:ind w:left="62" w:right="100"/>
            </w:pPr>
            <w:r>
              <w:t>Kenosha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326251" w:rsidP="00950F55">
            <w:pPr>
              <w:spacing w:line="252" w:lineRule="auto"/>
              <w:ind w:left="44" w:right="62"/>
            </w:pPr>
            <w:r>
              <w:t>147</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326251" w:rsidP="001B00EC">
            <w:pPr>
              <w:spacing w:line="252" w:lineRule="auto"/>
              <w:ind w:right="-23"/>
            </w:pPr>
            <w:r>
              <w:t>174</w:t>
            </w:r>
          </w:p>
        </w:tc>
        <w:tc>
          <w:tcPr>
            <w:tcW w:w="1170" w:type="dxa"/>
            <w:tcBorders>
              <w:top w:val="nil"/>
              <w:left w:val="nil"/>
              <w:bottom w:val="nil"/>
              <w:right w:val="nil"/>
            </w:tcBorders>
            <w:shd w:val="clear" w:color="auto" w:fill="DEEAF6" w:themeFill="accent1" w:themeFillTint="33"/>
            <w:vAlign w:val="center"/>
          </w:tcPr>
          <w:p w:rsidR="005D6EC3" w:rsidRPr="00C41C9C" w:rsidRDefault="00326251" w:rsidP="000D45BC">
            <w:pPr>
              <w:spacing w:line="252" w:lineRule="auto"/>
              <w:ind w:left="95" w:right="445"/>
              <w:jc w:val="right"/>
            </w:pPr>
            <w:r>
              <w:t>18.4</w:t>
            </w:r>
            <w:r w:rsidR="005D6EC3">
              <w:t>%</w:t>
            </w:r>
          </w:p>
        </w:tc>
      </w:tr>
      <w:tr w:rsidR="009F10D6"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9F10D6" w:rsidP="00950F55">
            <w:pPr>
              <w:spacing w:line="252" w:lineRule="auto"/>
              <w:ind w:left="62" w:right="100"/>
            </w:pPr>
            <w:r>
              <w:t>Walworth</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326251" w:rsidP="00950F55">
            <w:pPr>
              <w:spacing w:line="252" w:lineRule="auto"/>
              <w:ind w:left="44" w:right="62"/>
            </w:pPr>
            <w:r>
              <w:t>170</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326251" w:rsidP="001B00EC">
            <w:pPr>
              <w:spacing w:line="252" w:lineRule="auto"/>
              <w:ind w:right="-23"/>
            </w:pPr>
            <w:r>
              <w:t>158</w:t>
            </w:r>
          </w:p>
        </w:tc>
        <w:tc>
          <w:tcPr>
            <w:tcW w:w="1170" w:type="dxa"/>
            <w:tcBorders>
              <w:top w:val="nil"/>
              <w:left w:val="nil"/>
              <w:bottom w:val="nil"/>
              <w:right w:val="nil"/>
            </w:tcBorders>
            <w:shd w:val="clear" w:color="auto" w:fill="auto"/>
            <w:vAlign w:val="center"/>
          </w:tcPr>
          <w:p w:rsidR="009F10D6" w:rsidRDefault="00326251" w:rsidP="000D45BC">
            <w:pPr>
              <w:spacing w:line="252" w:lineRule="auto"/>
              <w:ind w:left="95" w:right="445"/>
              <w:jc w:val="right"/>
            </w:pPr>
            <w:r>
              <w:t>-7.1</w:t>
            </w:r>
            <w:r w:rsidR="00EC64B4">
              <w:t>%</w:t>
            </w:r>
          </w:p>
        </w:tc>
      </w:tr>
    </w:tbl>
    <w:p w:rsidR="00A92A94" w:rsidRDefault="00EC64B4" w:rsidP="007B6D3B">
      <w:pPr>
        <w:spacing w:before="120" w:after="120"/>
        <w:ind w:left="-360" w:right="-360"/>
        <w:contextualSpacing/>
        <w:rPr>
          <w:sz w:val="24"/>
          <w:szCs w:val="24"/>
        </w:rPr>
      </w:pPr>
      <w:r>
        <w:rPr>
          <w:sz w:val="24"/>
          <w:szCs w:val="24"/>
        </w:rPr>
        <w:t xml:space="preserve"> </w:t>
      </w:r>
    </w:p>
    <w:p w:rsidR="00A92A94" w:rsidRPr="00E65340" w:rsidRDefault="00A92A94" w:rsidP="007B6D3B">
      <w:pPr>
        <w:spacing w:before="120" w:after="120"/>
        <w:ind w:left="-360" w:right="-360"/>
        <w:contextualSpacing/>
        <w:rPr>
          <w:sz w:val="24"/>
          <w:szCs w:val="24"/>
        </w:rPr>
      </w:pPr>
    </w:p>
    <w:p w:rsidR="001E0262" w:rsidRDefault="001E0262" w:rsidP="001F5CBD">
      <w:pPr>
        <w:spacing w:before="120" w:after="120"/>
        <w:ind w:left="-360" w:right="-360"/>
        <w:contextualSpacing/>
        <w:rPr>
          <w:sz w:val="24"/>
          <w:szCs w:val="24"/>
        </w:rPr>
      </w:pPr>
    </w:p>
    <w:p w:rsidR="00D0513E" w:rsidRDefault="00D0513E"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1347B5" w:rsidRPr="006F7D1E" w:rsidRDefault="001347B5" w:rsidP="001347B5">
      <w:pPr>
        <w:spacing w:before="120" w:after="120"/>
        <w:ind w:left="-360" w:right="-360"/>
        <w:contextualSpacing/>
        <w:rPr>
          <w:b/>
          <w:bCs/>
          <w:sz w:val="24"/>
          <w:szCs w:val="24"/>
          <w:u w:val="single"/>
        </w:rPr>
      </w:pPr>
      <w:r w:rsidRPr="00FD76D1">
        <w:rPr>
          <w:b/>
          <w:bCs/>
          <w:sz w:val="24"/>
          <w:szCs w:val="24"/>
          <w:u w:val="single"/>
        </w:rPr>
        <w:t>Inventory</w:t>
      </w:r>
    </w:p>
    <w:p w:rsidR="001347B5" w:rsidRPr="006F7D1E" w:rsidRDefault="001347B5" w:rsidP="001347B5">
      <w:pPr>
        <w:spacing w:before="120" w:after="120"/>
        <w:ind w:left="-360" w:right="-360"/>
        <w:contextualSpacing/>
        <w:rPr>
          <w:sz w:val="24"/>
          <w:szCs w:val="24"/>
        </w:rPr>
      </w:pPr>
      <w:r w:rsidRPr="006F7D1E">
        <w:rPr>
          <w:sz w:val="24"/>
          <w:szCs w:val="24"/>
        </w:rPr>
        <w:t>Seasonally adjusted inventory is calculated by taking the homes available for sale in a given month and</w:t>
      </w:r>
      <w:r w:rsidR="00FE44EA">
        <w:rPr>
          <w:sz w:val="24"/>
          <w:szCs w:val="24"/>
        </w:rPr>
        <w:t xml:space="preserve"> </w:t>
      </w:r>
      <w:r w:rsidRPr="006F7D1E">
        <w:rPr>
          <w:sz w:val="24"/>
          <w:szCs w:val="24"/>
        </w:rPr>
        <w:t xml:space="preserve">comparing them to the past 12 months’ average sales.  This tells us how many months it would take to sell the existing homes on the market. The seasonally adjusted inventory level for </w:t>
      </w:r>
      <w:r>
        <w:rPr>
          <w:sz w:val="24"/>
          <w:szCs w:val="24"/>
        </w:rPr>
        <w:t>February</w:t>
      </w:r>
      <w:r w:rsidRPr="006F7D1E">
        <w:rPr>
          <w:sz w:val="24"/>
          <w:szCs w:val="24"/>
        </w:rPr>
        <w:t xml:space="preserve"> was </w:t>
      </w:r>
      <w:r>
        <w:rPr>
          <w:sz w:val="24"/>
          <w:szCs w:val="24"/>
        </w:rPr>
        <w:t>2.9</w:t>
      </w:r>
      <w:r>
        <w:rPr>
          <w:sz w:val="24"/>
          <w:szCs w:val="24"/>
        </w:rPr>
        <w:t xml:space="preserve"> months</w:t>
      </w:r>
      <w:r w:rsidRPr="006F7D1E">
        <w:rPr>
          <w:sz w:val="24"/>
          <w:szCs w:val="24"/>
        </w:rPr>
        <w:t xml:space="preserve">.  The seasonally adjusted level was </w:t>
      </w:r>
      <w:r w:rsidR="00FE44EA">
        <w:rPr>
          <w:sz w:val="24"/>
          <w:szCs w:val="24"/>
        </w:rPr>
        <w:t>3.2</w:t>
      </w:r>
      <w:r w:rsidRPr="006F7D1E">
        <w:rPr>
          <w:sz w:val="24"/>
          <w:szCs w:val="24"/>
        </w:rPr>
        <w:t xml:space="preserve"> months in </w:t>
      </w:r>
      <w:r w:rsidR="00FE44EA">
        <w:rPr>
          <w:sz w:val="24"/>
          <w:szCs w:val="24"/>
        </w:rPr>
        <w:t>February</w:t>
      </w:r>
      <w:r w:rsidRPr="006F7D1E">
        <w:rPr>
          <w:sz w:val="24"/>
          <w:szCs w:val="24"/>
        </w:rPr>
        <w:t xml:space="preserve"> 201</w:t>
      </w:r>
      <w:r w:rsidR="00FE44EA">
        <w:rPr>
          <w:sz w:val="24"/>
          <w:szCs w:val="24"/>
        </w:rPr>
        <w:t>8</w:t>
      </w:r>
      <w:r w:rsidRPr="006F7D1E">
        <w:rPr>
          <w:sz w:val="24"/>
          <w:szCs w:val="24"/>
        </w:rPr>
        <w:t>.</w:t>
      </w:r>
    </w:p>
    <w:p w:rsidR="001347B5" w:rsidRDefault="001347B5"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sidRPr="006F7D1E">
        <w:rPr>
          <w:sz w:val="24"/>
          <w:szCs w:val="24"/>
        </w:rPr>
        <w:t>Generally, six months of inventory is considered a “balanced” market. If inventory falls below six months, the market favors sellers; and when inventory exceeds six months, it is a buyer’s market. </w:t>
      </w:r>
    </w:p>
    <w:p w:rsidR="001347B5" w:rsidRDefault="001347B5"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Pr>
          <w:sz w:val="24"/>
          <w:szCs w:val="24"/>
        </w:rPr>
        <w:t>We also calculate inventory by subtracting the listings that have an “active offer” from those available for sale in a given month.  Approximately 8 in 10 listings that buyers place an offer on go on to a complete sale.  This gives us a different perspective of the quantity of homes available on the market.</w:t>
      </w:r>
    </w:p>
    <w:p w:rsidR="001347B5" w:rsidRDefault="001347B5"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Pr>
          <w:sz w:val="24"/>
          <w:szCs w:val="24"/>
        </w:rPr>
        <w:t>Subtracting the 1,</w:t>
      </w:r>
      <w:r w:rsidR="00FE44EA">
        <w:rPr>
          <w:sz w:val="24"/>
          <w:szCs w:val="24"/>
        </w:rPr>
        <w:t>768</w:t>
      </w:r>
      <w:r>
        <w:rPr>
          <w:sz w:val="24"/>
          <w:szCs w:val="24"/>
        </w:rPr>
        <w:t xml:space="preserve"> listings with an active offer from total current listings presents an effective inventory level of </w:t>
      </w:r>
      <w:r w:rsidR="00FE44EA">
        <w:rPr>
          <w:sz w:val="24"/>
          <w:szCs w:val="24"/>
        </w:rPr>
        <w:t>1.6</w:t>
      </w:r>
      <w:r>
        <w:rPr>
          <w:sz w:val="24"/>
          <w:szCs w:val="24"/>
        </w:rPr>
        <w:t xml:space="preserve"> months.  A year ago, the same calculation showed </w:t>
      </w:r>
      <w:r w:rsidR="00FE44EA">
        <w:rPr>
          <w:sz w:val="24"/>
          <w:szCs w:val="24"/>
        </w:rPr>
        <w:t>February’s inventory level at 1</w:t>
      </w:r>
      <w:r>
        <w:rPr>
          <w:sz w:val="24"/>
          <w:szCs w:val="24"/>
        </w:rPr>
        <w:t>.</w:t>
      </w:r>
      <w:r w:rsidR="00FE44EA">
        <w:rPr>
          <w:sz w:val="24"/>
          <w:szCs w:val="24"/>
        </w:rPr>
        <w:t>7</w:t>
      </w:r>
      <w:r>
        <w:rPr>
          <w:sz w:val="24"/>
          <w:szCs w:val="24"/>
        </w:rPr>
        <w:t xml:space="preserve"> months</w:t>
      </w:r>
      <w:r w:rsidR="00FE44EA">
        <w:rPr>
          <w:sz w:val="24"/>
          <w:szCs w:val="24"/>
        </w:rPr>
        <w:t>.</w:t>
      </w:r>
      <w:r>
        <w:rPr>
          <w:sz w:val="24"/>
          <w:szCs w:val="24"/>
        </w:rPr>
        <w:t xml:space="preserve"> </w:t>
      </w:r>
    </w:p>
    <w:p w:rsidR="000D45BC" w:rsidRDefault="000D45BC" w:rsidP="001F5CBD">
      <w:pPr>
        <w:spacing w:before="120" w:after="120"/>
        <w:ind w:left="-360" w:right="-360"/>
        <w:contextualSpacing/>
        <w:rPr>
          <w:sz w:val="24"/>
          <w:szCs w:val="24"/>
        </w:rPr>
      </w:pPr>
    </w:p>
    <w:p w:rsidR="00127EF0" w:rsidRDefault="00127EF0" w:rsidP="001F5CBD">
      <w:pPr>
        <w:spacing w:before="120" w:after="120"/>
        <w:ind w:left="-360" w:right="-360"/>
        <w:contextualSpacing/>
        <w:jc w:val="both"/>
        <w:rPr>
          <w:b/>
          <w:bCs/>
          <w:sz w:val="24"/>
          <w:szCs w:val="24"/>
          <w:u w:val="single"/>
        </w:rPr>
      </w:pPr>
      <w:r>
        <w:rPr>
          <w:b/>
          <w:bCs/>
          <w:sz w:val="24"/>
          <w:szCs w:val="24"/>
          <w:u w:val="single"/>
        </w:rPr>
        <w:t>Where to go</w:t>
      </w:r>
    </w:p>
    <w:p w:rsidR="00127EF0" w:rsidRDefault="00127EF0" w:rsidP="001F5CBD">
      <w:pPr>
        <w:spacing w:before="120" w:after="120"/>
        <w:ind w:left="-360" w:right="-360"/>
        <w:contextualSpacing/>
        <w:rPr>
          <w:sz w:val="24"/>
          <w:szCs w:val="24"/>
        </w:rPr>
      </w:pPr>
      <w:r>
        <w:rPr>
          <w:sz w:val="24"/>
          <w:szCs w:val="24"/>
        </w:rPr>
        <w:t>Buyers should seek the counsel of a REALTOR® in determining their best housing options, and sellers need a REALTORS® expert advice in making correct marketing decisions with their home</w:t>
      </w:r>
      <w:r w:rsidR="001B4CFE">
        <w:rPr>
          <w:sz w:val="24"/>
          <w:szCs w:val="24"/>
        </w:rPr>
        <w:t>s</w:t>
      </w:r>
      <w:r>
        <w:rPr>
          <w:sz w:val="24"/>
          <w:szCs w:val="24"/>
        </w:rPr>
        <w:t>.</w:t>
      </w:r>
    </w:p>
    <w:p w:rsidR="00127EF0" w:rsidRDefault="00127EF0" w:rsidP="001F5CBD">
      <w:pPr>
        <w:spacing w:before="120" w:after="120"/>
        <w:ind w:left="-360" w:right="-360"/>
        <w:contextualSpacing/>
        <w:rPr>
          <w:sz w:val="24"/>
          <w:szCs w:val="24"/>
        </w:rPr>
      </w:pPr>
    </w:p>
    <w:p w:rsidR="00127EF0" w:rsidRDefault="00127EF0" w:rsidP="001F5CBD">
      <w:pPr>
        <w:spacing w:before="120" w:after="120"/>
        <w:ind w:left="-360" w:right="-360"/>
        <w:contextualSpacing/>
        <w:rPr>
          <w:sz w:val="24"/>
          <w:szCs w:val="24"/>
        </w:rPr>
      </w:pPr>
      <w:r>
        <w:rPr>
          <w:sz w:val="24"/>
          <w:szCs w:val="24"/>
        </w:rPr>
        <w:t>The Greater Milwaukee Association of REALTORS</w:t>
      </w:r>
      <w:r>
        <w:rPr>
          <w:sz w:val="24"/>
          <w:szCs w:val="24"/>
          <w:vertAlign w:val="superscript"/>
        </w:rPr>
        <w:t>®</w:t>
      </w:r>
      <w:r w:rsidR="001E0262">
        <w:rPr>
          <w:sz w:val="24"/>
          <w:szCs w:val="24"/>
        </w:rPr>
        <w:t xml:space="preserve"> is a 4,5</w:t>
      </w:r>
      <w:r>
        <w:rPr>
          <w:sz w:val="24"/>
          <w:szCs w:val="24"/>
        </w:rPr>
        <w:t>00-member strong professional organization dedicated to providing information, services and products to “help REALTORS</w:t>
      </w:r>
      <w:r>
        <w:rPr>
          <w:sz w:val="24"/>
          <w:szCs w:val="24"/>
          <w:vertAlign w:val="superscript"/>
        </w:rPr>
        <w:t>®</w:t>
      </w:r>
      <w:r>
        <w:rPr>
          <w:sz w:val="24"/>
          <w:szCs w:val="24"/>
        </w:rPr>
        <w:t xml:space="preserve"> help their clients” buy and sell real estate.  Data for this report was collected by Metro MLS, Inc. a wholly-owned subsidiary of the GMAR.</w:t>
      </w:r>
    </w:p>
    <w:p w:rsidR="00127EF0" w:rsidRDefault="00127EF0" w:rsidP="001F5CBD">
      <w:pPr>
        <w:spacing w:before="120" w:after="120"/>
        <w:ind w:left="-360" w:right="-360"/>
        <w:contextualSpacing/>
        <w:rPr>
          <w:sz w:val="24"/>
          <w:szCs w:val="24"/>
        </w:rPr>
      </w:pPr>
    </w:p>
    <w:p w:rsidR="000D45BC" w:rsidRPr="009B3EAE" w:rsidRDefault="00127EF0" w:rsidP="009B3EAE">
      <w:pPr>
        <w:spacing w:before="120" w:after="120"/>
        <w:ind w:left="-360" w:right="-360"/>
        <w:contextualSpacing/>
        <w:jc w:val="both"/>
        <w:rPr>
          <w:sz w:val="20"/>
          <w:szCs w:val="20"/>
        </w:rPr>
      </w:pPr>
      <w:r>
        <w:rPr>
          <w:sz w:val="20"/>
          <w:szCs w:val="20"/>
        </w:rPr>
        <w:t>* Sales and Listing figures differ between the “Monthly Stats” and “4th qtr” (or year-end) because the collection of “Monthly Stats” ends on the 10</w:t>
      </w:r>
      <w:r>
        <w:rPr>
          <w:sz w:val="20"/>
          <w:szCs w:val="20"/>
          <w:vertAlign w:val="superscript"/>
        </w:rPr>
        <w:t>th</w:t>
      </w:r>
      <w:r>
        <w:rPr>
          <w:sz w:val="20"/>
          <w:szCs w:val="20"/>
        </w:rPr>
        <w:t xml:space="preserve"> of each month; whereas the “4</w:t>
      </w:r>
      <w:r>
        <w:rPr>
          <w:sz w:val="20"/>
          <w:szCs w:val="20"/>
          <w:vertAlign w:val="superscript"/>
        </w:rPr>
        <w:t>th</w:t>
      </w:r>
      <w:r>
        <w:rPr>
          <w:sz w:val="20"/>
          <w:szCs w:val="20"/>
        </w:rPr>
        <w:t xml:space="preserve"> qtr” is a continuous tally to 12/31.  For example, if a sale occurred on </w:t>
      </w:r>
      <w:r w:rsidR="00326251">
        <w:rPr>
          <w:sz w:val="20"/>
          <w:szCs w:val="20"/>
        </w:rPr>
        <w:t>February</w:t>
      </w:r>
      <w:r>
        <w:rPr>
          <w:sz w:val="20"/>
          <w:szCs w:val="20"/>
        </w:rPr>
        <w:t xml:space="preserve"> 29</w:t>
      </w:r>
      <w:r>
        <w:rPr>
          <w:sz w:val="20"/>
          <w:szCs w:val="20"/>
          <w:vertAlign w:val="superscript"/>
        </w:rPr>
        <w:t>th</w:t>
      </w:r>
      <w:r>
        <w:rPr>
          <w:sz w:val="20"/>
          <w:szCs w:val="20"/>
        </w:rPr>
        <w:t xml:space="preserve">, but the agent does not record the sale until </w:t>
      </w:r>
      <w:r w:rsidR="00326251">
        <w:rPr>
          <w:sz w:val="20"/>
          <w:szCs w:val="20"/>
        </w:rPr>
        <w:t>February</w:t>
      </w:r>
      <w:r>
        <w:rPr>
          <w:sz w:val="20"/>
          <w:szCs w:val="20"/>
        </w:rPr>
        <w:t xml:space="preserve"> 11</w:t>
      </w:r>
      <w:r>
        <w:rPr>
          <w:sz w:val="20"/>
          <w:szCs w:val="20"/>
          <w:vertAlign w:val="superscript"/>
        </w:rPr>
        <w:t>th</w:t>
      </w:r>
      <w:r>
        <w:rPr>
          <w:sz w:val="20"/>
          <w:szCs w:val="20"/>
        </w:rPr>
        <w:t xml:space="preserve">, that sale would not be included in the </w:t>
      </w:r>
      <w:r w:rsidR="00326251">
        <w:rPr>
          <w:sz w:val="20"/>
          <w:szCs w:val="20"/>
        </w:rPr>
        <w:t>February</w:t>
      </w:r>
      <w:r>
        <w:rPr>
          <w:sz w:val="20"/>
          <w:szCs w:val="20"/>
        </w:rPr>
        <w:t xml:space="preserve"> sales figures (or any subsequent month’s total) but would be added to the annual total sales figure in the “4</w:t>
      </w:r>
      <w:r>
        <w:rPr>
          <w:sz w:val="20"/>
          <w:szCs w:val="20"/>
          <w:vertAlign w:val="superscript"/>
        </w:rPr>
        <w:t>th</w:t>
      </w:r>
      <w:r>
        <w:rPr>
          <w:sz w:val="20"/>
          <w:szCs w:val="20"/>
        </w:rPr>
        <w:t xml:space="preserve"> qtr” total.</w:t>
      </w:r>
      <w:bookmarkStart w:id="1" w:name="_GoBack"/>
      <w:bookmarkEnd w:id="0"/>
      <w:bookmarkEnd w:id="1"/>
    </w:p>
    <w:sectPr w:rsidR="000D45BC" w:rsidRPr="009B3EAE" w:rsidSect="00AD053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83"/>
    <w:rsid w:val="0000535B"/>
    <w:rsid w:val="0002203D"/>
    <w:rsid w:val="000231FD"/>
    <w:rsid w:val="00027936"/>
    <w:rsid w:val="00036C88"/>
    <w:rsid w:val="00050EC7"/>
    <w:rsid w:val="00063605"/>
    <w:rsid w:val="000643AB"/>
    <w:rsid w:val="00085C75"/>
    <w:rsid w:val="000871EE"/>
    <w:rsid w:val="000A3217"/>
    <w:rsid w:val="000D45BC"/>
    <w:rsid w:val="000E6853"/>
    <w:rsid w:val="000F21F9"/>
    <w:rsid w:val="00127EF0"/>
    <w:rsid w:val="001312C0"/>
    <w:rsid w:val="001347B5"/>
    <w:rsid w:val="0013524F"/>
    <w:rsid w:val="00153E7F"/>
    <w:rsid w:val="001559E4"/>
    <w:rsid w:val="00156337"/>
    <w:rsid w:val="001710C0"/>
    <w:rsid w:val="00183378"/>
    <w:rsid w:val="00186DB6"/>
    <w:rsid w:val="001A060A"/>
    <w:rsid w:val="001B00EC"/>
    <w:rsid w:val="001B4CFE"/>
    <w:rsid w:val="001B610A"/>
    <w:rsid w:val="001C2406"/>
    <w:rsid w:val="001C62A3"/>
    <w:rsid w:val="001E0262"/>
    <w:rsid w:val="001F0911"/>
    <w:rsid w:val="001F5CBD"/>
    <w:rsid w:val="00211BC4"/>
    <w:rsid w:val="0023346D"/>
    <w:rsid w:val="002369FD"/>
    <w:rsid w:val="002C0B6C"/>
    <w:rsid w:val="003105DB"/>
    <w:rsid w:val="003176C9"/>
    <w:rsid w:val="00323325"/>
    <w:rsid w:val="00326251"/>
    <w:rsid w:val="0033059A"/>
    <w:rsid w:val="0033551A"/>
    <w:rsid w:val="003639E9"/>
    <w:rsid w:val="00366609"/>
    <w:rsid w:val="003724B8"/>
    <w:rsid w:val="00387C56"/>
    <w:rsid w:val="003B1886"/>
    <w:rsid w:val="003C35B1"/>
    <w:rsid w:val="004217B7"/>
    <w:rsid w:val="00437E34"/>
    <w:rsid w:val="00470AB1"/>
    <w:rsid w:val="0048406D"/>
    <w:rsid w:val="00486BF3"/>
    <w:rsid w:val="004A5FC1"/>
    <w:rsid w:val="004E6E55"/>
    <w:rsid w:val="00501774"/>
    <w:rsid w:val="00503E46"/>
    <w:rsid w:val="00510938"/>
    <w:rsid w:val="0052049F"/>
    <w:rsid w:val="00534DD3"/>
    <w:rsid w:val="0054105F"/>
    <w:rsid w:val="00544E79"/>
    <w:rsid w:val="00552DBB"/>
    <w:rsid w:val="005552A3"/>
    <w:rsid w:val="00556E33"/>
    <w:rsid w:val="00577F84"/>
    <w:rsid w:val="00580AAD"/>
    <w:rsid w:val="00585519"/>
    <w:rsid w:val="0059620F"/>
    <w:rsid w:val="005D6EC3"/>
    <w:rsid w:val="005E4C81"/>
    <w:rsid w:val="005F0E5D"/>
    <w:rsid w:val="00602021"/>
    <w:rsid w:val="006213F9"/>
    <w:rsid w:val="00623E52"/>
    <w:rsid w:val="00627F72"/>
    <w:rsid w:val="00637D71"/>
    <w:rsid w:val="00654B2A"/>
    <w:rsid w:val="006744A3"/>
    <w:rsid w:val="0068075F"/>
    <w:rsid w:val="006A1D0C"/>
    <w:rsid w:val="006B1AEE"/>
    <w:rsid w:val="006D13A0"/>
    <w:rsid w:val="006D176A"/>
    <w:rsid w:val="006D3CD7"/>
    <w:rsid w:val="006E60DF"/>
    <w:rsid w:val="006F7D1E"/>
    <w:rsid w:val="00707437"/>
    <w:rsid w:val="00742C85"/>
    <w:rsid w:val="00754539"/>
    <w:rsid w:val="00754FD0"/>
    <w:rsid w:val="0078467D"/>
    <w:rsid w:val="0079199D"/>
    <w:rsid w:val="0079305F"/>
    <w:rsid w:val="007B6D3B"/>
    <w:rsid w:val="007C3727"/>
    <w:rsid w:val="007C40CE"/>
    <w:rsid w:val="007E478A"/>
    <w:rsid w:val="007F41E1"/>
    <w:rsid w:val="00807EDC"/>
    <w:rsid w:val="00815481"/>
    <w:rsid w:val="00817377"/>
    <w:rsid w:val="00853C6E"/>
    <w:rsid w:val="008654F1"/>
    <w:rsid w:val="0089320B"/>
    <w:rsid w:val="008A6E66"/>
    <w:rsid w:val="008D51A0"/>
    <w:rsid w:val="008F15EA"/>
    <w:rsid w:val="00902D03"/>
    <w:rsid w:val="0092306F"/>
    <w:rsid w:val="0093295D"/>
    <w:rsid w:val="00945145"/>
    <w:rsid w:val="00945C7F"/>
    <w:rsid w:val="00950D76"/>
    <w:rsid w:val="00950F55"/>
    <w:rsid w:val="009566F0"/>
    <w:rsid w:val="00960659"/>
    <w:rsid w:val="009717AC"/>
    <w:rsid w:val="00973EEB"/>
    <w:rsid w:val="00986E1D"/>
    <w:rsid w:val="009A3885"/>
    <w:rsid w:val="009B397A"/>
    <w:rsid w:val="009B3EAE"/>
    <w:rsid w:val="009B6FCA"/>
    <w:rsid w:val="009D1956"/>
    <w:rsid w:val="009D2241"/>
    <w:rsid w:val="009F10D6"/>
    <w:rsid w:val="00A017CA"/>
    <w:rsid w:val="00A2539A"/>
    <w:rsid w:val="00A25CC3"/>
    <w:rsid w:val="00A344B6"/>
    <w:rsid w:val="00A37F31"/>
    <w:rsid w:val="00A60995"/>
    <w:rsid w:val="00A648D1"/>
    <w:rsid w:val="00A66F2A"/>
    <w:rsid w:val="00A92A94"/>
    <w:rsid w:val="00A96CA0"/>
    <w:rsid w:val="00AB1D2A"/>
    <w:rsid w:val="00AB30DB"/>
    <w:rsid w:val="00AC3065"/>
    <w:rsid w:val="00AD0530"/>
    <w:rsid w:val="00AE1A13"/>
    <w:rsid w:val="00AF3EAF"/>
    <w:rsid w:val="00B01F83"/>
    <w:rsid w:val="00B062F3"/>
    <w:rsid w:val="00B704CC"/>
    <w:rsid w:val="00B93707"/>
    <w:rsid w:val="00BA70FF"/>
    <w:rsid w:val="00BA71CB"/>
    <w:rsid w:val="00BC1205"/>
    <w:rsid w:val="00BD7407"/>
    <w:rsid w:val="00BE172C"/>
    <w:rsid w:val="00BF155E"/>
    <w:rsid w:val="00C042A4"/>
    <w:rsid w:val="00C10518"/>
    <w:rsid w:val="00C37BF8"/>
    <w:rsid w:val="00C41C9C"/>
    <w:rsid w:val="00C5567F"/>
    <w:rsid w:val="00C66FB5"/>
    <w:rsid w:val="00C746BD"/>
    <w:rsid w:val="00C76AED"/>
    <w:rsid w:val="00C919A0"/>
    <w:rsid w:val="00CD08DE"/>
    <w:rsid w:val="00CD626E"/>
    <w:rsid w:val="00D01D6F"/>
    <w:rsid w:val="00D0513E"/>
    <w:rsid w:val="00D27B49"/>
    <w:rsid w:val="00D432FD"/>
    <w:rsid w:val="00D44446"/>
    <w:rsid w:val="00D5287E"/>
    <w:rsid w:val="00DA2234"/>
    <w:rsid w:val="00DB7C1E"/>
    <w:rsid w:val="00DD184E"/>
    <w:rsid w:val="00E12F08"/>
    <w:rsid w:val="00E22DD1"/>
    <w:rsid w:val="00E302C4"/>
    <w:rsid w:val="00E35D19"/>
    <w:rsid w:val="00E56F12"/>
    <w:rsid w:val="00E64AEC"/>
    <w:rsid w:val="00E65340"/>
    <w:rsid w:val="00E8432A"/>
    <w:rsid w:val="00E926DC"/>
    <w:rsid w:val="00E93F72"/>
    <w:rsid w:val="00EA2981"/>
    <w:rsid w:val="00EC64B4"/>
    <w:rsid w:val="00EC789A"/>
    <w:rsid w:val="00ED577D"/>
    <w:rsid w:val="00F04E39"/>
    <w:rsid w:val="00F07937"/>
    <w:rsid w:val="00F079C3"/>
    <w:rsid w:val="00F27208"/>
    <w:rsid w:val="00F34C38"/>
    <w:rsid w:val="00F35E94"/>
    <w:rsid w:val="00F4702E"/>
    <w:rsid w:val="00F56E8C"/>
    <w:rsid w:val="00F73353"/>
    <w:rsid w:val="00F93942"/>
    <w:rsid w:val="00F94B2E"/>
    <w:rsid w:val="00FC30D6"/>
    <w:rsid w:val="00FD76D1"/>
    <w:rsid w:val="00FE44EA"/>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5BAC1-F34F-4B12-9904-58F3866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gmar.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gmar.ws"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4</cp:revision>
  <cp:lastPrinted>2019-03-12T16:10:00Z</cp:lastPrinted>
  <dcterms:created xsi:type="dcterms:W3CDTF">2019-03-11T19:47:00Z</dcterms:created>
  <dcterms:modified xsi:type="dcterms:W3CDTF">2019-03-12T16:11:00Z</dcterms:modified>
</cp:coreProperties>
</file>