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F0" w:rsidRDefault="001F5CBD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0</wp:posOffset>
            </wp:positionV>
            <wp:extent cx="2164715" cy="1000125"/>
            <wp:effectExtent l="0" t="0" r="698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MAR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1552575" cy="1647825"/>
                <wp:effectExtent l="19050" t="0" r="47625" b="28575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4782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0E90B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0" o:spid="_x0000_s1026" type="#_x0000_t55" style="position:absolute;margin-left:200.25pt;margin-top:-33pt;width:122.25pt;height:12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" adj="10800" fillcolor="#1f4d78 [16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-428625</wp:posOffset>
                </wp:positionV>
                <wp:extent cx="3924300" cy="1647825"/>
                <wp:effectExtent l="0" t="0" r="38100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6478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658" w:rsidRPr="00A66F2A" w:rsidRDefault="00CD4658" w:rsidP="001F5CBD">
                            <w:pPr>
                              <w:ind w:right="48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b/>
                                <w:sz w:val="26"/>
                                <w:szCs w:val="26"/>
                              </w:rPr>
                              <w:t>For Immediate Release</w:t>
                            </w:r>
                          </w:p>
                          <w:p w:rsidR="00CD4658" w:rsidRPr="00A66F2A" w:rsidRDefault="00CD4658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Contact:  Mike Ruzicka</w:t>
                            </w:r>
                          </w:p>
                          <w:p w:rsidR="00CD4658" w:rsidRPr="00A66F2A" w:rsidRDefault="00CD4658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414.778.4929 or 414.870.1876</w:t>
                            </w:r>
                          </w:p>
                          <w:p w:rsidR="00CD4658" w:rsidRPr="001F5CBD" w:rsidRDefault="00830251" w:rsidP="001F5CBD">
                            <w:pPr>
                              <w:ind w:firstLine="720"/>
                              <w:rPr>
                                <w:color w:val="FFFFFF" w:themeColor="background1"/>
                              </w:rPr>
                            </w:pPr>
                            <w:hyperlink r:id="rId6" w:history="1">
                              <w:r w:rsidR="00CD4658" w:rsidRPr="00A66F2A">
                                <w:rPr>
                                  <w:rStyle w:val="Hyperlink"/>
                                  <w:color w:val="FFFFFF" w:themeColor="background1"/>
                                  <w:sz w:val="26"/>
                                  <w:szCs w:val="26"/>
                                </w:rPr>
                                <w:t>mike@gmar.ws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left:0;text-align:left;margin-left:-69pt;margin-top:-33.75pt;width:309pt;height:12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" adj="17065" fillcolor="#1f4d78 [1604]" strokecolor="#1f4d78 [1604]" strokeweight="1pt">
                <v:textbox>
                  <w:txbxContent>
                    <w:p w:rsidR="00CD4658" w:rsidRPr="00A66F2A" w:rsidRDefault="00CD4658" w:rsidP="001F5CBD">
                      <w:pPr>
                        <w:ind w:right="480" w:firstLine="720"/>
                        <w:rPr>
                          <w:b/>
                          <w:sz w:val="26"/>
                          <w:szCs w:val="26"/>
                        </w:rPr>
                      </w:pPr>
                      <w:r w:rsidRPr="00A66F2A">
                        <w:rPr>
                          <w:b/>
                          <w:sz w:val="26"/>
                          <w:szCs w:val="26"/>
                        </w:rPr>
                        <w:t>For Immediate Release</w:t>
                      </w:r>
                    </w:p>
                    <w:p w:rsidR="00CD4658" w:rsidRPr="00A66F2A" w:rsidRDefault="00CD4658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Contact:  Mike Ruzicka</w:t>
                      </w:r>
                    </w:p>
                    <w:p w:rsidR="00CD4658" w:rsidRPr="00A66F2A" w:rsidRDefault="00CD4658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414.778.4929 or 414.870.1876</w:t>
                      </w:r>
                    </w:p>
                    <w:p w:rsidR="00CD4658" w:rsidRPr="001F5CBD" w:rsidRDefault="00D9260E" w:rsidP="001F5CBD">
                      <w:pPr>
                        <w:ind w:firstLine="720"/>
                        <w:rPr>
                          <w:color w:val="FFFFFF" w:themeColor="background1"/>
                        </w:rPr>
                      </w:pPr>
                      <w:hyperlink r:id="rId7" w:history="1">
                        <w:r w:rsidR="00CD4658" w:rsidRPr="00A66F2A">
                          <w:rPr>
                            <w:rStyle w:val="Hyperlink"/>
                            <w:color w:val="FFFFFF" w:themeColor="background1"/>
                            <w:sz w:val="26"/>
                            <w:szCs w:val="26"/>
                          </w:rPr>
                          <w:t>mike@gmar.ws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:rsidR="00127EF0" w:rsidRDefault="00127EF0" w:rsidP="00127EF0">
      <w:pPr>
        <w:rPr>
          <w:sz w:val="24"/>
          <w:szCs w:val="24"/>
        </w:rPr>
      </w:pPr>
    </w:p>
    <w:p w:rsidR="00127EF0" w:rsidRDefault="00127EF0" w:rsidP="00127EF0">
      <w:pPr>
        <w:rPr>
          <w:sz w:val="24"/>
          <w:szCs w:val="24"/>
        </w:rPr>
      </w:pPr>
    </w:p>
    <w:p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:rsidR="001F5CBD" w:rsidRDefault="001F5CBD" w:rsidP="00127EF0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:rsidR="001F5CBD" w:rsidRDefault="001F5CBD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:rsidR="00127EF0" w:rsidRDefault="00521D03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72"/>
          <w:szCs w:val="72"/>
        </w:rPr>
      </w:pPr>
      <w:r>
        <w:rPr>
          <w:rFonts w:ascii="Arial Narrow" w:hAnsi="Arial Narrow"/>
          <w:b/>
          <w:bCs/>
          <w:sz w:val="72"/>
          <w:szCs w:val="72"/>
        </w:rPr>
        <w:t>March</w:t>
      </w:r>
      <w:r w:rsidR="00127EF0" w:rsidRPr="001F5CBD">
        <w:rPr>
          <w:rFonts w:ascii="Arial Narrow" w:hAnsi="Arial Narrow"/>
          <w:b/>
          <w:bCs/>
          <w:sz w:val="72"/>
          <w:szCs w:val="72"/>
        </w:rPr>
        <w:t xml:space="preserve"> Home Sales </w:t>
      </w:r>
      <w:r w:rsidR="00977AE7">
        <w:rPr>
          <w:rFonts w:ascii="Arial Narrow" w:hAnsi="Arial Narrow"/>
          <w:b/>
          <w:bCs/>
          <w:sz w:val="72"/>
          <w:szCs w:val="72"/>
        </w:rPr>
        <w:t xml:space="preserve">Down </w:t>
      </w:r>
      <w:r w:rsidR="002B4F66">
        <w:rPr>
          <w:rFonts w:ascii="Arial Narrow" w:hAnsi="Arial Narrow"/>
          <w:b/>
          <w:bCs/>
          <w:sz w:val="72"/>
          <w:szCs w:val="72"/>
        </w:rPr>
        <w:t>15.4</w:t>
      </w:r>
      <w:r w:rsidR="00127EF0" w:rsidRPr="001F5CBD">
        <w:rPr>
          <w:rFonts w:ascii="Arial Narrow" w:hAnsi="Arial Narrow"/>
          <w:b/>
          <w:bCs/>
          <w:sz w:val="72"/>
          <w:szCs w:val="72"/>
        </w:rPr>
        <w:t>%</w:t>
      </w:r>
    </w:p>
    <w:p w:rsidR="00C22763" w:rsidRPr="001F5CBD" w:rsidRDefault="00521D03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72"/>
          <w:szCs w:val="72"/>
        </w:rPr>
      </w:pPr>
      <w:r>
        <w:rPr>
          <w:rFonts w:ascii="Arial Narrow" w:hAnsi="Arial Narrow"/>
          <w:b/>
          <w:bCs/>
          <w:sz w:val="72"/>
          <w:szCs w:val="72"/>
        </w:rPr>
        <w:t>1</w:t>
      </w:r>
      <w:r w:rsidRPr="00521D03">
        <w:rPr>
          <w:rFonts w:ascii="Arial Narrow" w:hAnsi="Arial Narrow"/>
          <w:b/>
          <w:bCs/>
          <w:sz w:val="72"/>
          <w:szCs w:val="72"/>
          <w:vertAlign w:val="superscript"/>
        </w:rPr>
        <w:t>st</w:t>
      </w:r>
      <w:r>
        <w:rPr>
          <w:rFonts w:ascii="Arial Narrow" w:hAnsi="Arial Narrow"/>
          <w:b/>
          <w:bCs/>
          <w:sz w:val="72"/>
          <w:szCs w:val="72"/>
        </w:rPr>
        <w:t xml:space="preserve"> QTR</w:t>
      </w:r>
      <w:r w:rsidR="002228CD">
        <w:rPr>
          <w:rFonts w:ascii="Arial Narrow" w:hAnsi="Arial Narrow"/>
          <w:b/>
          <w:bCs/>
          <w:sz w:val="72"/>
          <w:szCs w:val="72"/>
        </w:rPr>
        <w:t xml:space="preserve"> </w:t>
      </w:r>
      <w:r w:rsidR="00E40C3D">
        <w:rPr>
          <w:rFonts w:ascii="Arial Narrow" w:hAnsi="Arial Narrow"/>
          <w:b/>
          <w:bCs/>
          <w:sz w:val="72"/>
          <w:szCs w:val="72"/>
        </w:rPr>
        <w:t>Down</w:t>
      </w:r>
      <w:r w:rsidR="001D7B23">
        <w:rPr>
          <w:rFonts w:ascii="Arial Narrow" w:hAnsi="Arial Narrow"/>
          <w:b/>
          <w:bCs/>
          <w:sz w:val="72"/>
          <w:szCs w:val="72"/>
        </w:rPr>
        <w:t xml:space="preserve"> </w:t>
      </w:r>
      <w:r w:rsidR="00647C20">
        <w:rPr>
          <w:rFonts w:ascii="Arial Narrow" w:hAnsi="Arial Narrow"/>
          <w:b/>
          <w:bCs/>
          <w:sz w:val="72"/>
          <w:szCs w:val="72"/>
        </w:rPr>
        <w:t>7</w:t>
      </w:r>
      <w:r w:rsidR="001D7B23">
        <w:rPr>
          <w:rFonts w:ascii="Arial Narrow" w:hAnsi="Arial Narrow"/>
          <w:b/>
          <w:bCs/>
          <w:sz w:val="72"/>
          <w:szCs w:val="72"/>
        </w:rPr>
        <w:t>.</w:t>
      </w:r>
      <w:r w:rsidR="00647C20">
        <w:rPr>
          <w:rFonts w:ascii="Arial Narrow" w:hAnsi="Arial Narrow"/>
          <w:b/>
          <w:bCs/>
          <w:sz w:val="72"/>
          <w:szCs w:val="72"/>
        </w:rPr>
        <w:t>6</w:t>
      </w:r>
      <w:r w:rsidR="00C22763">
        <w:rPr>
          <w:rFonts w:ascii="Arial Narrow" w:hAnsi="Arial Narrow"/>
          <w:b/>
          <w:bCs/>
          <w:sz w:val="72"/>
          <w:szCs w:val="72"/>
        </w:rPr>
        <w:t>%</w:t>
      </w:r>
    </w:p>
    <w:tbl>
      <w:tblPr>
        <w:tblStyle w:val="TableGrid"/>
        <w:tblpPr w:leftFromText="180" w:rightFromText="180" w:vertAnchor="text" w:horzAnchor="margin" w:tblpX="-360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</w:tblGrid>
      <w:tr w:rsidR="00E302C4" w:rsidTr="006C0A4A">
        <w:trPr>
          <w:trHeight w:val="455"/>
        </w:trPr>
        <w:tc>
          <w:tcPr>
            <w:tcW w:w="4796" w:type="dxa"/>
            <w:vAlign w:val="center"/>
          </w:tcPr>
          <w:p w:rsidR="00E302C4" w:rsidRPr="00E302C4" w:rsidRDefault="00E302C4" w:rsidP="00E302C4">
            <w:pPr>
              <w:spacing w:before="120" w:after="120"/>
              <w:ind w:left="-115" w:right="-36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302C4">
              <w:rPr>
                <w:rFonts w:ascii="Arial Narrow" w:hAnsi="Arial Narrow"/>
                <w:b/>
                <w:bCs/>
                <w:sz w:val="24"/>
                <w:szCs w:val="24"/>
              </w:rPr>
              <w:t>Market Highlights</w:t>
            </w:r>
          </w:p>
        </w:tc>
      </w:tr>
      <w:tr w:rsidR="00E302C4" w:rsidTr="006C0A4A">
        <w:trPr>
          <w:trHeight w:hRule="exact" w:val="369"/>
        </w:trPr>
        <w:tc>
          <w:tcPr>
            <w:tcW w:w="4796" w:type="dxa"/>
            <w:shd w:val="clear" w:color="auto" w:fill="DEEAF6" w:themeFill="accent1" w:themeFillTint="33"/>
            <w:vAlign w:val="center"/>
          </w:tcPr>
          <w:p w:rsidR="00E302C4" w:rsidRPr="00577F84" w:rsidRDefault="000418A7" w:rsidP="000970E3">
            <w:pPr>
              <w:pStyle w:val="ListParagraph"/>
              <w:numPr>
                <w:ilvl w:val="0"/>
                <w:numId w:val="3"/>
              </w:numPr>
              <w:spacing w:after="120"/>
              <w:ind w:left="240" w:right="-36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Prices</w:t>
            </w:r>
            <w:r w:rsidR="000970E3">
              <w:rPr>
                <w:sz w:val="24"/>
                <w:szCs w:val="24"/>
              </w:rPr>
              <w:t xml:space="preserve"> mixed, but up in MKE &amp; WAUK </w:t>
            </w:r>
          </w:p>
        </w:tc>
      </w:tr>
      <w:tr w:rsidR="00E302C4" w:rsidTr="006C0A4A">
        <w:trPr>
          <w:trHeight w:hRule="exact" w:val="369"/>
        </w:trPr>
        <w:tc>
          <w:tcPr>
            <w:tcW w:w="4796" w:type="dxa"/>
            <w:shd w:val="clear" w:color="auto" w:fill="DEEAF6" w:themeFill="accent1" w:themeFillTint="33"/>
            <w:vAlign w:val="center"/>
          </w:tcPr>
          <w:p w:rsidR="00E302C4" w:rsidRPr="00577F84" w:rsidRDefault="000970E3" w:rsidP="000970E3">
            <w:pPr>
              <w:pStyle w:val="ListParagraph"/>
              <w:numPr>
                <w:ilvl w:val="0"/>
                <w:numId w:val="3"/>
              </w:numPr>
              <w:spacing w:after="120"/>
              <w:ind w:left="240" w:right="-36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Down in 9 of Last 12 Months</w:t>
            </w:r>
          </w:p>
        </w:tc>
      </w:tr>
      <w:tr w:rsidR="00E302C4" w:rsidTr="006C0A4A">
        <w:trPr>
          <w:trHeight w:hRule="exact" w:val="369"/>
        </w:trPr>
        <w:tc>
          <w:tcPr>
            <w:tcW w:w="4796" w:type="dxa"/>
            <w:shd w:val="clear" w:color="auto" w:fill="DEEAF6" w:themeFill="accent1" w:themeFillTint="33"/>
            <w:vAlign w:val="center"/>
          </w:tcPr>
          <w:p w:rsidR="00E302C4" w:rsidRDefault="000970E3" w:rsidP="000970E3">
            <w:pPr>
              <w:pStyle w:val="ListParagraph"/>
              <w:numPr>
                <w:ilvl w:val="0"/>
                <w:numId w:val="3"/>
              </w:numPr>
              <w:spacing w:after="120"/>
              <w:ind w:left="240" w:right="-36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Listings Down in 7 of Last 12 Months</w:t>
            </w:r>
          </w:p>
        </w:tc>
      </w:tr>
    </w:tbl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:rsidR="00E302C4" w:rsidRDefault="00E302C4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E302C4" w:rsidRDefault="00E302C4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tbl>
      <w:tblPr>
        <w:tblpPr w:leftFromText="180" w:rightFromText="180" w:bottomFromText="115" w:vertAnchor="text" w:horzAnchor="margin" w:tblpX="-270" w:tblpY="111"/>
        <w:tblW w:w="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871"/>
        <w:gridCol w:w="810"/>
        <w:gridCol w:w="1170"/>
        <w:gridCol w:w="265"/>
      </w:tblGrid>
      <w:tr w:rsidR="00647C20" w:rsidRPr="00CD4658" w:rsidTr="00647C20">
        <w:trPr>
          <w:trHeight w:val="432"/>
        </w:trPr>
        <w:tc>
          <w:tcPr>
            <w:tcW w:w="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March</w:t>
            </w:r>
            <w:r w:rsidRPr="00CD4658">
              <w:rPr>
                <w:rFonts w:ascii="Arial Narrow" w:hAnsi="Arial Narrow"/>
                <w:b/>
              </w:rPr>
              <w:t xml:space="preserve"> Sales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647C20" w:rsidRPr="00CD4658" w:rsidRDefault="00647C20" w:rsidP="00647C20">
            <w:pPr>
              <w:ind w:left="175" w:right="100"/>
              <w:rPr>
                <w:b/>
                <w:color w:val="FFFFFF" w:themeColor="background1"/>
              </w:rPr>
            </w:pPr>
            <w:r w:rsidRPr="00CD4658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87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20" w:rsidRPr="00CD4658" w:rsidRDefault="00647C20" w:rsidP="00647C20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CD4658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20" w:rsidRPr="00CD4658" w:rsidRDefault="00647C20" w:rsidP="00647C20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CD4658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647C20" w:rsidRPr="00CD4658" w:rsidRDefault="00647C20" w:rsidP="00647C20">
            <w:pPr>
              <w:ind w:left="89" w:right="90"/>
              <w:rPr>
                <w:color w:val="FFFFFF" w:themeColor="background1"/>
              </w:rPr>
            </w:pPr>
            <w:r w:rsidRPr="00CD4658">
              <w:rPr>
                <w:color w:val="FFFFFF" w:themeColor="background1"/>
              </w:rPr>
              <w:t>% Change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Milwaukee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20" w:rsidRPr="00CD4658" w:rsidRDefault="00647C20" w:rsidP="00647C20">
            <w:pPr>
              <w:spacing w:line="252" w:lineRule="auto"/>
              <w:ind w:left="44" w:right="62"/>
            </w:pPr>
            <w:r>
              <w:t>977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20" w:rsidRPr="00CD4658" w:rsidRDefault="00647C20" w:rsidP="00647C20">
            <w:pPr>
              <w:spacing w:line="252" w:lineRule="auto"/>
              <w:ind w:right="-23"/>
            </w:pPr>
            <w:r>
              <w:t>820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 w:rsidRPr="00CD4658">
              <w:t>-</w:t>
            </w:r>
            <w:r>
              <w:t>16</w:t>
            </w:r>
            <w:r w:rsidRPr="00CD4658">
              <w:t>.</w:t>
            </w:r>
            <w:r>
              <w:t>1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Waukesha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</w:pPr>
            <w:r>
              <w:t>406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</w:pPr>
            <w:r>
              <w:t>357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 w:rsidRPr="00CD4658">
              <w:t>-</w:t>
            </w:r>
            <w:r>
              <w:t>12</w:t>
            </w:r>
            <w:r w:rsidRPr="00CD4658">
              <w:t>.</w:t>
            </w:r>
            <w:r>
              <w:t>1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Washington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</w:pPr>
            <w:r>
              <w:t>165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</w:pPr>
            <w:r>
              <w:t>129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>
              <w:t>-21.8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Ozaukee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</w:pPr>
            <w:r>
              <w:t>109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</w:pPr>
            <w: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>
              <w:t>-11.9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4 County Area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</w:pPr>
            <w:r>
              <w:t>1,657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</w:pPr>
            <w:r>
              <w:t>1,402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>
              <w:t>-15.4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8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  <w:rPr>
                <w:sz w:val="10"/>
                <w:szCs w:val="10"/>
              </w:rPr>
            </w:pP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Racine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</w:pPr>
            <w:r>
              <w:t>225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</w:pPr>
            <w:r>
              <w:t>166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>
              <w:t>-26.2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Kenosha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</w:pPr>
            <w:r>
              <w:t>165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</w:pPr>
            <w:r>
              <w:t>180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>
              <w:t>9.1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Walworth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</w:pPr>
            <w:r>
              <w:t>153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</w:pPr>
            <w:r>
              <w:t>122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>
              <w:t>-20.3</w:t>
            </w:r>
            <w:r w:rsidRPr="00CD4658">
              <w:t>%</w:t>
            </w:r>
          </w:p>
        </w:tc>
      </w:tr>
      <w:tr w:rsidR="00647C20" w:rsidRPr="00CD4658" w:rsidTr="00647C20">
        <w:trPr>
          <w:gridAfter w:val="1"/>
          <w:wAfter w:w="265" w:type="dxa"/>
          <w:trHeight w:val="288"/>
        </w:trPr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62" w:right="100"/>
            </w:pPr>
            <w:r w:rsidRPr="00CD4658">
              <w:t>7 County Area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left="44" w:right="62"/>
            </w:pPr>
            <w:r>
              <w:t>2,200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20" w:rsidRPr="00CD4658" w:rsidRDefault="00647C20" w:rsidP="00647C20">
            <w:pPr>
              <w:spacing w:line="252" w:lineRule="auto"/>
              <w:ind w:right="-23"/>
            </w:pPr>
            <w:r>
              <w:t>1,870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47C20" w:rsidRPr="00CD4658" w:rsidRDefault="00647C20" w:rsidP="00647C20">
            <w:pPr>
              <w:spacing w:line="252" w:lineRule="auto"/>
              <w:ind w:right="270"/>
              <w:jc w:val="right"/>
            </w:pPr>
            <w:r>
              <w:t>-15.0</w:t>
            </w:r>
            <w:r w:rsidRPr="00CD4658">
              <w:t>%</w:t>
            </w:r>
          </w:p>
        </w:tc>
      </w:tr>
    </w:tbl>
    <w:p w:rsidR="00647C20" w:rsidRDefault="00647C20" w:rsidP="001F5CBD">
      <w:pPr>
        <w:spacing w:before="120" w:after="120"/>
        <w:ind w:left="-360" w:right="-360"/>
        <w:contextualSpacing/>
      </w:pPr>
    </w:p>
    <w:p w:rsidR="00FE7EB4" w:rsidRDefault="002B4F66" w:rsidP="001F5CBD">
      <w:pPr>
        <w:spacing w:before="120" w:after="120"/>
        <w:ind w:left="-360" w:right="-360"/>
        <w:contextualSpacing/>
      </w:pPr>
      <w:r>
        <w:t>April</w:t>
      </w:r>
      <w:r w:rsidR="00E40C3D" w:rsidRPr="00CD4658">
        <w:t xml:space="preserve"> </w:t>
      </w:r>
      <w:r w:rsidR="00977AE7" w:rsidRPr="00CD4658">
        <w:t>1</w:t>
      </w:r>
      <w:r w:rsidR="00521D03">
        <w:t>1</w:t>
      </w:r>
      <w:r w:rsidR="00127EF0" w:rsidRPr="00CD4658">
        <w:t>, 201</w:t>
      </w:r>
      <w:r w:rsidR="0008180B" w:rsidRPr="00CD4658">
        <w:t>9</w:t>
      </w:r>
      <w:r w:rsidR="00127EF0" w:rsidRPr="00CD4658">
        <w:t xml:space="preserve"> – Home sales were </w:t>
      </w:r>
      <w:r w:rsidR="00D83A25" w:rsidRPr="00CD4658">
        <w:t xml:space="preserve">down </w:t>
      </w:r>
      <w:r w:rsidR="00830251">
        <w:t>15</w:t>
      </w:r>
      <w:r w:rsidR="00F4138C" w:rsidRPr="00CD4658">
        <w:t>.</w:t>
      </w:r>
      <w:r w:rsidR="00830251">
        <w:t>4</w:t>
      </w:r>
      <w:r w:rsidR="00127EF0" w:rsidRPr="00CD4658">
        <w:t xml:space="preserve">% </w:t>
      </w:r>
      <w:r w:rsidR="00A2539A" w:rsidRPr="00CD4658">
        <w:t xml:space="preserve">in </w:t>
      </w:r>
      <w:r w:rsidR="00521D03">
        <w:t>March</w:t>
      </w:r>
      <w:r w:rsidR="00A2539A" w:rsidRPr="00CD4658">
        <w:t xml:space="preserve"> </w:t>
      </w:r>
      <w:r w:rsidR="00127EF0" w:rsidRPr="00CD4658">
        <w:t>in the</w:t>
      </w:r>
      <w:r w:rsidR="0092306F" w:rsidRPr="00CD4658">
        <w:t xml:space="preserve"> Metropolitan Milwaukee market</w:t>
      </w:r>
      <w:r w:rsidR="00EC789A" w:rsidRPr="00CD4658">
        <w:t xml:space="preserve"> over the same period in 201</w:t>
      </w:r>
      <w:r w:rsidR="00BD6964">
        <w:t>8</w:t>
      </w:r>
      <w:r w:rsidR="0092306F" w:rsidRPr="00CD4658">
        <w:t>.</w:t>
      </w:r>
      <w:r w:rsidR="00853C6E" w:rsidRPr="00CD4658">
        <w:t xml:space="preserve">  </w:t>
      </w:r>
      <w:r w:rsidR="00A2539A" w:rsidRPr="00CD4658">
        <w:t xml:space="preserve">The </w:t>
      </w:r>
      <w:r w:rsidR="00F4138C" w:rsidRPr="00CD4658">
        <w:t>1,</w:t>
      </w:r>
      <w:r w:rsidR="00BD6964">
        <w:t>402</w:t>
      </w:r>
      <w:r w:rsidR="00A2539A" w:rsidRPr="00CD4658">
        <w:t xml:space="preserve"> </w:t>
      </w:r>
      <w:r w:rsidR="00E302C4" w:rsidRPr="00CD4658">
        <w:t>homes</w:t>
      </w:r>
      <w:r w:rsidR="00A2539A" w:rsidRPr="00CD4658">
        <w:t xml:space="preserve"> sold </w:t>
      </w:r>
      <w:r w:rsidR="00E302C4" w:rsidRPr="00CD4658">
        <w:t>in</w:t>
      </w:r>
      <w:r w:rsidR="00A2539A" w:rsidRPr="00CD4658">
        <w:t xml:space="preserve"> </w:t>
      </w:r>
      <w:r w:rsidR="00521D03">
        <w:t>March</w:t>
      </w:r>
      <w:r w:rsidR="00A2539A" w:rsidRPr="00CD4658">
        <w:t xml:space="preserve"> </w:t>
      </w:r>
      <w:r w:rsidR="00AE3BB8" w:rsidRPr="00CD4658">
        <w:t>totals</w:t>
      </w:r>
      <w:r w:rsidR="00A2539A" w:rsidRPr="00CD4658">
        <w:t xml:space="preserve"> </w:t>
      </w:r>
      <w:r w:rsidR="00BD6964">
        <w:t>255</w:t>
      </w:r>
      <w:r w:rsidR="00E456F1" w:rsidRPr="00CD4658">
        <w:t xml:space="preserve"> fewer</w:t>
      </w:r>
      <w:r w:rsidR="00A2539A" w:rsidRPr="00CD4658">
        <w:t xml:space="preserve"> than in </w:t>
      </w:r>
      <w:r w:rsidR="00521D03">
        <w:t>March</w:t>
      </w:r>
      <w:r w:rsidR="00A2539A" w:rsidRPr="00CD4658">
        <w:t xml:space="preserve"> 201</w:t>
      </w:r>
      <w:r w:rsidR="00BD6964">
        <w:t>8</w:t>
      </w:r>
      <w:r w:rsidR="00A2539A" w:rsidRPr="00CD4658">
        <w:t xml:space="preserve">, when </w:t>
      </w:r>
      <w:r w:rsidR="00E40C3D" w:rsidRPr="00CD4658">
        <w:t>1</w:t>
      </w:r>
      <w:r w:rsidR="0040188A" w:rsidRPr="00CD4658">
        <w:t>,</w:t>
      </w:r>
      <w:r w:rsidR="00BD6964">
        <w:t>657</w:t>
      </w:r>
      <w:r w:rsidR="00A2539A" w:rsidRPr="00CD4658">
        <w:t xml:space="preserve"> units sold.</w:t>
      </w:r>
      <w:r w:rsidR="001D7B23" w:rsidRPr="00CD4658">
        <w:t xml:space="preserve"> </w:t>
      </w:r>
      <w:r w:rsidR="00FE7EB4" w:rsidRPr="00CD4658">
        <w:t xml:space="preserve">The drop </w:t>
      </w:r>
      <w:r w:rsidR="00310D67">
        <w:t>is a</w:t>
      </w:r>
      <w:r w:rsidR="00181579">
        <w:t>n</w:t>
      </w:r>
      <w:r w:rsidR="00310D67">
        <w:t xml:space="preserve"> </w:t>
      </w:r>
      <w:r w:rsidR="00181579">
        <w:t>extension</w:t>
      </w:r>
      <w:r w:rsidR="00181579" w:rsidRPr="00CD4658">
        <w:t xml:space="preserve"> </w:t>
      </w:r>
      <w:r w:rsidR="00181579">
        <w:t>of a slowing market the Metropolitan and Southeastern Wisconsin areas have experienced since May 2018.</w:t>
      </w:r>
    </w:p>
    <w:p w:rsidR="0031621B" w:rsidRDefault="0031621B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F4138C" w:rsidRPr="0031621B" w:rsidRDefault="001D7B23" w:rsidP="0031621B">
      <w:pPr>
        <w:spacing w:before="120" w:after="120"/>
        <w:ind w:right="-360"/>
        <w:contextualSpacing/>
      </w:pPr>
      <w:bookmarkStart w:id="1" w:name="_GoBack"/>
      <w:bookmarkEnd w:id="1"/>
      <w:r w:rsidRPr="0031621B">
        <w:t xml:space="preserve">Through the </w:t>
      </w:r>
      <w:r w:rsidR="00521D03">
        <w:t>1st</w:t>
      </w:r>
      <w:r w:rsidR="00E40C3D" w:rsidRPr="0031621B">
        <w:t xml:space="preserve"> </w:t>
      </w:r>
      <w:r w:rsidRPr="0031621B">
        <w:t xml:space="preserve">quarter of the year </w:t>
      </w:r>
      <w:r w:rsidR="00181579">
        <w:t>3</w:t>
      </w:r>
      <w:r w:rsidRPr="0031621B">
        <w:t>,</w:t>
      </w:r>
      <w:r w:rsidR="00181579">
        <w:t>498</w:t>
      </w:r>
      <w:r w:rsidRPr="0031621B">
        <w:t xml:space="preserve"> homes sold, </w:t>
      </w:r>
      <w:r w:rsidR="009E4BB1" w:rsidRPr="0031621B">
        <w:t xml:space="preserve">down </w:t>
      </w:r>
      <w:r w:rsidR="00181579">
        <w:t>7.6</w:t>
      </w:r>
      <w:r w:rsidR="00E40C3D" w:rsidRPr="0031621B">
        <w:t xml:space="preserve">% </w:t>
      </w:r>
      <w:r w:rsidR="009E4BB1" w:rsidRPr="0031621B">
        <w:t>from</w:t>
      </w:r>
      <w:r w:rsidR="00E40C3D" w:rsidRPr="0031621B">
        <w:t xml:space="preserve"> </w:t>
      </w:r>
      <w:r w:rsidR="00181579">
        <w:t>3</w:t>
      </w:r>
      <w:r w:rsidRPr="0031621B">
        <w:t>,</w:t>
      </w:r>
      <w:r w:rsidR="00181579">
        <w:t>787</w:t>
      </w:r>
      <w:r w:rsidRPr="0031621B">
        <w:t xml:space="preserve"> units sold in 201</w:t>
      </w:r>
      <w:r w:rsidR="00181579">
        <w:t>8 in the 4-county area</w:t>
      </w:r>
      <w:r w:rsidRPr="0031621B">
        <w:t xml:space="preserve">. </w:t>
      </w:r>
      <w:r w:rsidR="00181579">
        <w:t>Add the 3 counties to the south, and total sales were 4,710, 6.7% behind the 5,047 sales in 2018 in SE Wisconsin.</w:t>
      </w:r>
    </w:p>
    <w:p w:rsidR="00F4138C" w:rsidRPr="0031621B" w:rsidRDefault="00F4138C" w:rsidP="009E4BB1">
      <w:pPr>
        <w:spacing w:before="120" w:after="120"/>
        <w:ind w:left="-360" w:right="-360"/>
        <w:contextualSpacing/>
      </w:pPr>
    </w:p>
    <w:p w:rsidR="00F4138C" w:rsidRPr="0031621B" w:rsidRDefault="00F7248D" w:rsidP="009E4BB1">
      <w:pPr>
        <w:spacing w:before="120" w:after="120"/>
        <w:ind w:left="-360" w:right="-360"/>
        <w:contextualSpacing/>
      </w:pPr>
      <w:r>
        <w:t>While the first quarter of 2019 was the weakest since 2016</w:t>
      </w:r>
      <w:r w:rsidR="00F4138C" w:rsidRPr="0031621B">
        <w:t>,</w:t>
      </w:r>
      <w:r>
        <w:t xml:space="preserve"> it was also the third strongest quarter in the last decade</w:t>
      </w:r>
      <w:r w:rsidR="00F4138C" w:rsidRPr="0031621B">
        <w:t>.</w:t>
      </w:r>
      <w:r>
        <w:t xml:space="preserve"> </w:t>
      </w:r>
      <w:r w:rsidR="0053080F">
        <w:t>T</w:t>
      </w:r>
      <w:r>
        <w:t xml:space="preserve">he market appears to be slowing, </w:t>
      </w:r>
      <w:r w:rsidR="0053080F">
        <w:t xml:space="preserve">but </w:t>
      </w:r>
      <w:r>
        <w:t>it is slowin</w:t>
      </w:r>
      <w:r w:rsidR="00EC5F0E">
        <w:t xml:space="preserve">g down from a high level. </w:t>
      </w:r>
    </w:p>
    <w:tbl>
      <w:tblPr>
        <w:tblpPr w:leftFromText="180" w:rightFromText="180" w:bottomFromText="115" w:vertAnchor="text" w:horzAnchor="margin" w:tblpX="-270" w:tblpY="117"/>
        <w:tblW w:w="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935"/>
        <w:gridCol w:w="865"/>
        <w:gridCol w:w="1170"/>
        <w:gridCol w:w="265"/>
      </w:tblGrid>
      <w:tr w:rsidR="00EC5F0E" w:rsidRPr="00C41C9C" w:rsidTr="00EC5F0E">
        <w:trPr>
          <w:trHeight w:val="432"/>
        </w:trPr>
        <w:tc>
          <w:tcPr>
            <w:tcW w:w="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0E" w:rsidRPr="0031621B" w:rsidRDefault="00EC5F0E" w:rsidP="00EC5F0E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1st</w:t>
            </w:r>
            <w:r w:rsidRPr="0031621B">
              <w:rPr>
                <w:rFonts w:ascii="Arial Narrow" w:hAnsi="Arial Narrow"/>
                <w:b/>
              </w:rPr>
              <w:t xml:space="preserve"> Quarter Sales</w:t>
            </w:r>
            <w:r w:rsidRPr="0031621B">
              <w:rPr>
                <w:rFonts w:ascii="Arial Narrow" w:hAnsi="Arial Narrow"/>
              </w:rPr>
              <w:t xml:space="preserve"> (Jan 1 – </w:t>
            </w:r>
            <w:r>
              <w:rPr>
                <w:rFonts w:ascii="Arial Narrow" w:hAnsi="Arial Narrow"/>
              </w:rPr>
              <w:t>Mar</w:t>
            </w:r>
            <w:r w:rsidRPr="0031621B">
              <w:rPr>
                <w:rFonts w:ascii="Arial Narrow" w:hAnsi="Arial Narrow"/>
              </w:rPr>
              <w:t xml:space="preserve"> 31)</w:t>
            </w: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EC5F0E" w:rsidRPr="0031621B" w:rsidRDefault="00EC5F0E" w:rsidP="00EC5F0E">
            <w:pPr>
              <w:ind w:left="175" w:right="100"/>
              <w:rPr>
                <w:b/>
                <w:color w:val="FFFFFF" w:themeColor="background1"/>
              </w:rPr>
            </w:pPr>
            <w:r w:rsidRPr="0031621B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93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F0E" w:rsidRPr="0031621B" w:rsidRDefault="00EC5F0E" w:rsidP="00EC5F0E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8</w:t>
            </w:r>
          </w:p>
        </w:tc>
        <w:tc>
          <w:tcPr>
            <w:tcW w:w="86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F0E" w:rsidRPr="0031621B" w:rsidRDefault="00EC5F0E" w:rsidP="00EC5F0E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EC5F0E" w:rsidRPr="0031621B" w:rsidRDefault="00EC5F0E" w:rsidP="00EC5F0E">
            <w:pPr>
              <w:ind w:left="89" w:right="90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% Change</w:t>
            </w: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0E" w:rsidRPr="0031621B" w:rsidRDefault="00EC5F0E" w:rsidP="00EC5F0E">
            <w:pPr>
              <w:spacing w:line="252" w:lineRule="auto"/>
              <w:ind w:left="62" w:right="100"/>
            </w:pPr>
            <w:r w:rsidRPr="0031621B">
              <w:t>Milwaukee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5F0E" w:rsidRPr="0031621B" w:rsidRDefault="00EC5F0E" w:rsidP="00EC5F0E">
            <w:pPr>
              <w:spacing w:line="252" w:lineRule="auto"/>
              <w:ind w:left="44" w:right="62"/>
            </w:pPr>
            <w:r>
              <w:t>2,252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5F0E" w:rsidRPr="0031621B" w:rsidRDefault="00EC5F0E" w:rsidP="00EC5F0E">
            <w:pPr>
              <w:spacing w:line="252" w:lineRule="auto"/>
              <w:ind w:right="-23"/>
            </w:pPr>
            <w:r>
              <w:t>2,095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F0E" w:rsidRPr="0031621B" w:rsidRDefault="00EC5F0E" w:rsidP="00EC5F0E">
            <w:pPr>
              <w:spacing w:line="252" w:lineRule="auto"/>
              <w:ind w:right="360"/>
              <w:jc w:val="right"/>
            </w:pPr>
            <w:r w:rsidRPr="0031621B">
              <w:t>-</w:t>
            </w:r>
            <w:r>
              <w:t>7</w:t>
            </w:r>
            <w:r w:rsidRPr="0031621B">
              <w:t>.</w:t>
            </w:r>
            <w:r>
              <w:t>0</w:t>
            </w:r>
            <w:r w:rsidRPr="0031621B">
              <w:t>%</w:t>
            </w: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0E" w:rsidRPr="0031621B" w:rsidRDefault="00EC5F0E" w:rsidP="00EC5F0E">
            <w:pPr>
              <w:spacing w:line="252" w:lineRule="auto"/>
              <w:ind w:left="62" w:right="100"/>
            </w:pPr>
            <w:r w:rsidRPr="0031621B">
              <w:t>Waukesha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44" w:right="62"/>
            </w:pPr>
            <w:r>
              <w:t>936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right="-23"/>
            </w:pPr>
            <w:r>
              <w:t>915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C5F0E" w:rsidRPr="0031621B" w:rsidRDefault="00EC5F0E" w:rsidP="00EC5F0E">
            <w:pPr>
              <w:spacing w:line="252" w:lineRule="auto"/>
              <w:ind w:right="360"/>
              <w:jc w:val="right"/>
            </w:pPr>
            <w:r>
              <w:t>-2.2</w:t>
            </w:r>
            <w:r w:rsidRPr="0031621B">
              <w:t>%</w:t>
            </w: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0E" w:rsidRPr="0031621B" w:rsidRDefault="00EC5F0E" w:rsidP="00EC5F0E">
            <w:pPr>
              <w:spacing w:line="252" w:lineRule="auto"/>
              <w:ind w:left="62" w:right="100"/>
            </w:pPr>
            <w:r w:rsidRPr="0031621B">
              <w:t>Washington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44" w:right="62"/>
            </w:pPr>
            <w:r>
              <w:t>380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right="-23"/>
            </w:pPr>
            <w:r>
              <w:t>291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F0E" w:rsidRPr="0031621B" w:rsidRDefault="00EC5F0E" w:rsidP="00EC5F0E">
            <w:pPr>
              <w:spacing w:line="252" w:lineRule="auto"/>
              <w:ind w:right="360"/>
              <w:jc w:val="right"/>
            </w:pPr>
            <w:r>
              <w:t>-23.4</w:t>
            </w:r>
            <w:r w:rsidRPr="0031621B">
              <w:t>%</w:t>
            </w: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0E" w:rsidRPr="0031621B" w:rsidRDefault="00EC5F0E" w:rsidP="00EC5F0E">
            <w:pPr>
              <w:spacing w:line="252" w:lineRule="auto"/>
              <w:ind w:left="62" w:right="100"/>
            </w:pPr>
            <w:r w:rsidRPr="0031621B">
              <w:t>Ozaukee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44" w:right="62"/>
            </w:pPr>
            <w:r>
              <w:t>219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right="-23"/>
            </w:pPr>
            <w:r>
              <w:t>197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EC5F0E" w:rsidRPr="0031621B" w:rsidRDefault="00EC5F0E" w:rsidP="00EC5F0E">
            <w:pPr>
              <w:spacing w:line="252" w:lineRule="auto"/>
              <w:ind w:right="360"/>
              <w:jc w:val="right"/>
            </w:pPr>
            <w:r>
              <w:t>-10.0</w:t>
            </w:r>
            <w:r w:rsidRPr="0031621B">
              <w:t>%</w:t>
            </w: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0E" w:rsidRPr="0031621B" w:rsidRDefault="00EC5F0E" w:rsidP="00EC5F0E">
            <w:pPr>
              <w:spacing w:line="252" w:lineRule="auto"/>
              <w:ind w:left="62" w:right="100"/>
            </w:pPr>
            <w:r w:rsidRPr="0031621B">
              <w:t>4 County Area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44" w:right="62"/>
            </w:pPr>
            <w:r>
              <w:t>3,787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right="-23"/>
            </w:pPr>
            <w:r>
              <w:t>3,498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F0E" w:rsidRPr="0031621B" w:rsidRDefault="00EC5F0E" w:rsidP="00EC5F0E">
            <w:pPr>
              <w:spacing w:line="252" w:lineRule="auto"/>
              <w:ind w:right="360"/>
              <w:jc w:val="right"/>
            </w:pPr>
            <w:r>
              <w:t>-7.6</w:t>
            </w:r>
            <w:r w:rsidRPr="0031621B">
              <w:t>%</w:t>
            </w:r>
          </w:p>
        </w:tc>
      </w:tr>
      <w:tr w:rsidR="00EC5F0E" w:rsidRPr="00C41C9C" w:rsidTr="00EC5F0E">
        <w:trPr>
          <w:gridAfter w:val="1"/>
          <w:wAfter w:w="265" w:type="dxa"/>
          <w:trHeight w:val="17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156337" w:rsidRDefault="00EC5F0E" w:rsidP="00EC5F0E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156337" w:rsidRDefault="00EC5F0E" w:rsidP="00EC5F0E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156337" w:rsidRDefault="00EC5F0E" w:rsidP="00EC5F0E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C5F0E" w:rsidRPr="00156337" w:rsidRDefault="00EC5F0E" w:rsidP="00EC5F0E">
            <w:pPr>
              <w:spacing w:line="252" w:lineRule="auto"/>
              <w:ind w:right="360"/>
              <w:jc w:val="right"/>
              <w:rPr>
                <w:sz w:val="10"/>
                <w:szCs w:val="10"/>
              </w:rPr>
            </w:pP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62" w:right="100"/>
            </w:pPr>
            <w:r w:rsidRPr="0031621B">
              <w:t>Racine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44" w:right="62"/>
            </w:pPr>
            <w:r>
              <w:t>530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right="-23"/>
            </w:pPr>
            <w:r>
              <w:t>495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F0E" w:rsidRPr="0031621B" w:rsidRDefault="00EC5F0E" w:rsidP="00EC5F0E">
            <w:pPr>
              <w:spacing w:line="252" w:lineRule="auto"/>
              <w:ind w:right="360"/>
              <w:jc w:val="right"/>
            </w:pPr>
            <w:r>
              <w:t>-6.6</w:t>
            </w:r>
            <w:r w:rsidRPr="0031621B">
              <w:t>%</w:t>
            </w: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62" w:right="100"/>
            </w:pPr>
            <w:r w:rsidRPr="0031621B">
              <w:t>Kenosha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44" w:right="62"/>
            </w:pPr>
            <w:r>
              <w:t>407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right="-23"/>
            </w:pPr>
            <w:r>
              <w:t>413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C5F0E" w:rsidRPr="0031621B" w:rsidRDefault="00EC5F0E" w:rsidP="00EC5F0E">
            <w:pPr>
              <w:spacing w:line="252" w:lineRule="auto"/>
              <w:ind w:right="360"/>
              <w:jc w:val="right"/>
            </w:pPr>
            <w:r>
              <w:t>1.5</w:t>
            </w:r>
            <w:r w:rsidRPr="0031621B">
              <w:t>%</w:t>
            </w: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62" w:right="100"/>
            </w:pPr>
            <w:r w:rsidRPr="0031621B">
              <w:t>Walworth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44" w:right="62"/>
            </w:pPr>
            <w:r>
              <w:t>323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right="-23"/>
            </w:pPr>
            <w: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F0E" w:rsidRPr="0031621B" w:rsidRDefault="00EC5F0E" w:rsidP="00EC5F0E">
            <w:pPr>
              <w:spacing w:line="252" w:lineRule="auto"/>
              <w:ind w:right="360"/>
              <w:jc w:val="right"/>
            </w:pPr>
            <w:r>
              <w:t>-5.9</w:t>
            </w:r>
            <w:r w:rsidRPr="0031621B">
              <w:t>%</w:t>
            </w:r>
          </w:p>
        </w:tc>
      </w:tr>
      <w:tr w:rsidR="00EC5F0E" w:rsidRPr="00C41C9C" w:rsidTr="00EC5F0E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62" w:right="100"/>
            </w:pPr>
            <w:r w:rsidRPr="0031621B">
              <w:t>7 County Area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left="44" w:right="62"/>
            </w:pPr>
            <w:r>
              <w:t>5,047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0E" w:rsidRPr="0031621B" w:rsidRDefault="00EC5F0E" w:rsidP="00EC5F0E">
            <w:pPr>
              <w:spacing w:line="252" w:lineRule="auto"/>
              <w:ind w:right="-23"/>
            </w:pPr>
            <w:r>
              <w:t>4,710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C5F0E" w:rsidRPr="0031621B" w:rsidRDefault="00EC5F0E" w:rsidP="00EC5F0E">
            <w:pPr>
              <w:spacing w:line="252" w:lineRule="auto"/>
              <w:ind w:right="360"/>
              <w:jc w:val="right"/>
            </w:pPr>
            <w:r>
              <w:t>-6.7</w:t>
            </w:r>
            <w:r w:rsidRPr="0031621B">
              <w:t>%</w:t>
            </w:r>
          </w:p>
        </w:tc>
      </w:tr>
    </w:tbl>
    <w:p w:rsidR="00CD4658" w:rsidRPr="0031621B" w:rsidRDefault="00CD4658" w:rsidP="009E4BB1">
      <w:pPr>
        <w:spacing w:before="120" w:after="120"/>
        <w:ind w:left="-360" w:right="-360"/>
        <w:contextualSpacing/>
      </w:pPr>
    </w:p>
    <w:p w:rsidR="00EC789A" w:rsidRPr="0031621B" w:rsidRDefault="00E302C4" w:rsidP="001F5CBD">
      <w:pPr>
        <w:spacing w:before="120" w:after="120"/>
        <w:ind w:left="-360" w:right="-360"/>
        <w:contextualSpacing/>
      </w:pPr>
      <w:r w:rsidRPr="0031621B">
        <w:t xml:space="preserve">The </w:t>
      </w:r>
      <w:r w:rsidR="007B6D3B" w:rsidRPr="0031621B">
        <w:t xml:space="preserve">metropolitan area has enjoyed a </w:t>
      </w:r>
      <w:r w:rsidRPr="0031621B">
        <w:t xml:space="preserve">strong sales </w:t>
      </w:r>
      <w:r w:rsidR="007B6D3B" w:rsidRPr="0031621B">
        <w:t xml:space="preserve">market since the beginning of 2015.  The influx of first-time buyers – accounting for </w:t>
      </w:r>
      <w:r w:rsidR="00FE64F6" w:rsidRPr="0031621B">
        <w:t xml:space="preserve">roughly </w:t>
      </w:r>
      <w:r w:rsidR="007B6D3B" w:rsidRPr="0031621B">
        <w:t xml:space="preserve">40% of the market – </w:t>
      </w:r>
      <w:r w:rsidR="00FE7EB4" w:rsidRPr="0031621B">
        <w:t>empty nesters</w:t>
      </w:r>
      <w:r w:rsidR="00CD4658" w:rsidRPr="0031621B">
        <w:t xml:space="preserve"> downsizing</w:t>
      </w:r>
      <w:r w:rsidR="00FE7EB4" w:rsidRPr="0031621B">
        <w:t xml:space="preserve">, </w:t>
      </w:r>
      <w:r w:rsidR="007B6D3B" w:rsidRPr="0031621B">
        <w:t>historically low interest rates, and a strong regional job market, all provide fuel for a hot market.</w:t>
      </w:r>
    </w:p>
    <w:p w:rsidR="007B6D3B" w:rsidRPr="0031621B" w:rsidRDefault="007B6D3B" w:rsidP="001F5CBD">
      <w:pPr>
        <w:spacing w:before="120" w:after="120"/>
        <w:ind w:left="-360" w:right="-360"/>
        <w:contextualSpacing/>
      </w:pPr>
    </w:p>
    <w:p w:rsidR="0053080F" w:rsidRPr="0053080F" w:rsidRDefault="0031621B" w:rsidP="007B6D3B">
      <w:pPr>
        <w:spacing w:before="120" w:after="120"/>
        <w:ind w:left="-360" w:right="-360"/>
        <w:contextualSpacing/>
        <w:rPr>
          <w:b/>
        </w:rPr>
      </w:pPr>
      <w:r w:rsidRPr="0053080F">
        <w:rPr>
          <w:b/>
        </w:rPr>
        <w:t>T</w:t>
      </w:r>
      <w:r w:rsidR="0053080F" w:rsidRPr="0053080F">
        <w:rPr>
          <w:b/>
        </w:rPr>
        <w:t>oo Many Apartments?</w:t>
      </w:r>
    </w:p>
    <w:p w:rsidR="0053080F" w:rsidRDefault="0053080F" w:rsidP="007B6D3B">
      <w:pPr>
        <w:spacing w:before="120" w:after="120"/>
        <w:ind w:left="-360" w:right="-360"/>
        <w:contextualSpacing/>
      </w:pPr>
      <w:r>
        <w:t>T</w:t>
      </w:r>
      <w:r w:rsidR="0031621B" w:rsidRPr="0031621B">
        <w:t>he</w:t>
      </w:r>
      <w:r w:rsidR="00EC5F0E">
        <w:t xml:space="preserve"> lack of listings under $300,000 throttl</w:t>
      </w:r>
      <w:r w:rsidR="00D7029B">
        <w:t>ed</w:t>
      </w:r>
      <w:r w:rsidR="00EC5F0E">
        <w:t xml:space="preserve"> higher sales. </w:t>
      </w:r>
      <w:r w:rsidR="005479CC">
        <w:t>In March</w:t>
      </w:r>
      <w:r>
        <w:t xml:space="preserve">, 73% of listings sold were under $300K </w:t>
      </w:r>
      <w:r w:rsidR="005479CC">
        <w:t xml:space="preserve">in the 4-county area, </w:t>
      </w:r>
      <w:r>
        <w:t>and approximately 2/3 of th</w:t>
      </w:r>
      <w:r w:rsidR="005479CC">
        <w:t>os</w:t>
      </w:r>
      <w:r>
        <w:t>e sold in less than 60 days.</w:t>
      </w:r>
    </w:p>
    <w:p w:rsidR="0053080F" w:rsidRDefault="0053080F" w:rsidP="007B6D3B">
      <w:pPr>
        <w:spacing w:before="120" w:after="120"/>
        <w:ind w:left="-360" w:right="-360"/>
        <w:contextualSpacing/>
      </w:pPr>
    </w:p>
    <w:tbl>
      <w:tblPr>
        <w:tblpPr w:leftFromText="180" w:rightFromText="180" w:bottomFromText="115" w:vertAnchor="text" w:horzAnchor="margin" w:tblpX="-270" w:tblpY="76"/>
        <w:tblW w:w="7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53"/>
        <w:gridCol w:w="550"/>
        <w:gridCol w:w="501"/>
        <w:gridCol w:w="1183"/>
        <w:gridCol w:w="1003"/>
        <w:gridCol w:w="1003"/>
        <w:gridCol w:w="1080"/>
        <w:gridCol w:w="265"/>
      </w:tblGrid>
      <w:tr w:rsidR="0053080F" w:rsidRPr="0031621B" w:rsidTr="0053080F">
        <w:trPr>
          <w:trHeight w:val="432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080F" w:rsidRDefault="0053080F" w:rsidP="0053080F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0F" w:rsidRDefault="0053080F" w:rsidP="0053080F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</w:p>
        </w:tc>
        <w:tc>
          <w:tcPr>
            <w:tcW w:w="5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80F" w:rsidRPr="0031621B" w:rsidRDefault="0053080F" w:rsidP="0053080F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March</w:t>
            </w:r>
            <w:r w:rsidRPr="0031621B">
              <w:rPr>
                <w:rFonts w:ascii="Arial Narrow" w:hAnsi="Arial Narrow"/>
                <w:b/>
              </w:rPr>
              <w:t xml:space="preserve"> Price Point &amp; DOM Data</w:t>
            </w:r>
          </w:p>
        </w:tc>
      </w:tr>
      <w:tr w:rsidR="0053080F" w:rsidRPr="0031621B" w:rsidTr="0053080F">
        <w:trPr>
          <w:gridAfter w:val="1"/>
          <w:wAfter w:w="265" w:type="dxa"/>
          <w:trHeight w:val="288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53080F" w:rsidRPr="0031621B" w:rsidRDefault="0053080F" w:rsidP="0053080F">
            <w:pPr>
              <w:ind w:left="175" w:right="100"/>
              <w:rPr>
                <w:b/>
                <w:color w:val="FFFFFF" w:themeColor="background1"/>
              </w:rPr>
            </w:pPr>
            <w:r w:rsidRPr="0031621B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1051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80F" w:rsidRPr="0031621B" w:rsidRDefault="0053080F" w:rsidP="0053080F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&lt;$300K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</w:tcPr>
          <w:p w:rsidR="0053080F" w:rsidRPr="0031621B" w:rsidRDefault="0053080F" w:rsidP="0053080F">
            <w:pPr>
              <w:spacing w:line="207" w:lineRule="atLeast"/>
              <w:ind w:right="-2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$300-$500K</w:t>
            </w:r>
          </w:p>
        </w:tc>
        <w:tc>
          <w:tcPr>
            <w:tcW w:w="100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</w:tcPr>
          <w:p w:rsidR="0053080F" w:rsidRPr="0031621B" w:rsidRDefault="0053080F" w:rsidP="0053080F">
            <w:pPr>
              <w:spacing w:line="207" w:lineRule="atLeast"/>
              <w:ind w:right="-2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&gt;$500K</w:t>
            </w:r>
          </w:p>
        </w:tc>
        <w:tc>
          <w:tcPr>
            <w:tcW w:w="100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80F" w:rsidRPr="0031621B" w:rsidRDefault="0053080F" w:rsidP="0053080F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&lt;30 Days</w:t>
            </w:r>
          </w:p>
        </w:tc>
        <w:tc>
          <w:tcPr>
            <w:tcW w:w="108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53080F" w:rsidRPr="0031621B" w:rsidRDefault="0053080F" w:rsidP="0053080F">
            <w:pPr>
              <w:ind w:left="89" w:right="90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&lt;60 Days</w:t>
            </w:r>
          </w:p>
        </w:tc>
      </w:tr>
      <w:tr w:rsidR="0053080F" w:rsidRPr="0031621B" w:rsidTr="0053080F">
        <w:trPr>
          <w:gridAfter w:val="1"/>
          <w:wAfter w:w="265" w:type="dxa"/>
          <w:trHeight w:val="288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80F" w:rsidRPr="0031621B" w:rsidRDefault="0053080F" w:rsidP="0053080F">
            <w:pPr>
              <w:spacing w:line="252" w:lineRule="auto"/>
              <w:ind w:left="62" w:right="100"/>
            </w:pPr>
            <w:r w:rsidRPr="0031621B">
              <w:t>Milwaukee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44" w:right="62"/>
              <w:jc w:val="center"/>
            </w:pPr>
            <w:r>
              <w:t>87</w:t>
            </w:r>
            <w:r w:rsidRPr="0031621B"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11%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2%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56</w:t>
            </w:r>
            <w:r w:rsidRPr="0031621B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80F" w:rsidRPr="0031621B" w:rsidRDefault="0053080F" w:rsidP="0053080F">
            <w:pPr>
              <w:spacing w:line="252" w:lineRule="auto"/>
              <w:jc w:val="center"/>
            </w:pPr>
            <w:r>
              <w:t>72</w:t>
            </w:r>
            <w:r w:rsidRPr="0031621B">
              <w:t>%</w:t>
            </w:r>
          </w:p>
        </w:tc>
      </w:tr>
      <w:tr w:rsidR="0053080F" w:rsidRPr="0031621B" w:rsidTr="0053080F">
        <w:trPr>
          <w:gridAfter w:val="1"/>
          <w:wAfter w:w="265" w:type="dxa"/>
          <w:trHeight w:val="288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80F" w:rsidRPr="0031621B" w:rsidRDefault="0053080F" w:rsidP="0053080F">
            <w:pPr>
              <w:spacing w:line="252" w:lineRule="auto"/>
              <w:ind w:left="62" w:right="100"/>
            </w:pPr>
            <w:r w:rsidRPr="0031621B">
              <w:t>Waukesha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44" w:right="62"/>
              <w:jc w:val="center"/>
            </w:pPr>
            <w:r>
              <w:t>51</w:t>
            </w:r>
            <w:r w:rsidRPr="0031621B"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34%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15%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56</w:t>
            </w:r>
            <w:r w:rsidRPr="0031621B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53080F" w:rsidRPr="0031621B" w:rsidRDefault="0053080F" w:rsidP="0053080F">
            <w:pPr>
              <w:spacing w:line="252" w:lineRule="auto"/>
              <w:jc w:val="center"/>
            </w:pPr>
            <w:r>
              <w:t>68</w:t>
            </w:r>
            <w:r w:rsidRPr="0031621B">
              <w:t>%</w:t>
            </w:r>
          </w:p>
        </w:tc>
      </w:tr>
      <w:tr w:rsidR="0053080F" w:rsidRPr="0031621B" w:rsidTr="0053080F">
        <w:trPr>
          <w:gridAfter w:val="1"/>
          <w:wAfter w:w="265" w:type="dxa"/>
          <w:trHeight w:val="288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80F" w:rsidRPr="0031621B" w:rsidRDefault="0053080F" w:rsidP="0053080F">
            <w:pPr>
              <w:spacing w:line="252" w:lineRule="auto"/>
              <w:ind w:left="62" w:right="100"/>
            </w:pPr>
            <w:r w:rsidRPr="0031621B">
              <w:t>Washington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44" w:right="62"/>
              <w:jc w:val="center"/>
            </w:pPr>
            <w:r>
              <w:t>61</w:t>
            </w:r>
            <w:r w:rsidRPr="0031621B"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34%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5%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50</w:t>
            </w:r>
            <w:r w:rsidRPr="0031621B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80F" w:rsidRPr="0031621B" w:rsidRDefault="0053080F" w:rsidP="0053080F">
            <w:pPr>
              <w:spacing w:line="252" w:lineRule="auto"/>
              <w:jc w:val="center"/>
            </w:pPr>
            <w:r>
              <w:t>61</w:t>
            </w:r>
            <w:r w:rsidRPr="0031621B">
              <w:t>%</w:t>
            </w:r>
          </w:p>
        </w:tc>
      </w:tr>
      <w:tr w:rsidR="0053080F" w:rsidRPr="0031621B" w:rsidTr="0053080F">
        <w:trPr>
          <w:gridAfter w:val="1"/>
          <w:wAfter w:w="265" w:type="dxa"/>
          <w:trHeight w:val="288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80F" w:rsidRPr="0031621B" w:rsidRDefault="0053080F" w:rsidP="0053080F">
            <w:pPr>
              <w:spacing w:line="252" w:lineRule="auto"/>
              <w:ind w:left="62" w:right="100"/>
            </w:pPr>
            <w:r w:rsidRPr="0031621B">
              <w:t>Ozaukee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44" w:right="62"/>
              <w:jc w:val="center"/>
            </w:pPr>
            <w:r>
              <w:t>53</w:t>
            </w:r>
            <w:r w:rsidRPr="0031621B"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30%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17%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53</w:t>
            </w:r>
            <w:r w:rsidRPr="0031621B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53080F" w:rsidRPr="0031621B" w:rsidRDefault="0053080F" w:rsidP="0053080F">
            <w:pPr>
              <w:spacing w:line="252" w:lineRule="auto"/>
              <w:jc w:val="center"/>
            </w:pPr>
            <w:r>
              <w:t>70</w:t>
            </w:r>
            <w:r w:rsidRPr="0031621B">
              <w:t>%</w:t>
            </w:r>
          </w:p>
        </w:tc>
      </w:tr>
      <w:tr w:rsidR="0053080F" w:rsidRPr="0031621B" w:rsidTr="0053080F">
        <w:trPr>
          <w:gridAfter w:val="1"/>
          <w:wAfter w:w="265" w:type="dxa"/>
          <w:trHeight w:val="288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62" w:right="100"/>
            </w:pPr>
            <w:r w:rsidRPr="0031621B">
              <w:t>Racine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44" w:right="62"/>
              <w:jc w:val="center"/>
            </w:pPr>
            <w:r>
              <w:t>82</w:t>
            </w:r>
            <w:r w:rsidRPr="0031621B"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17%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1%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49</w:t>
            </w:r>
            <w:r w:rsidRPr="0031621B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80F" w:rsidRPr="0031621B" w:rsidRDefault="0053080F" w:rsidP="0053080F">
            <w:pPr>
              <w:spacing w:line="252" w:lineRule="auto"/>
              <w:jc w:val="center"/>
            </w:pPr>
            <w:r>
              <w:t>64</w:t>
            </w:r>
            <w:r w:rsidRPr="0031621B">
              <w:t>%</w:t>
            </w:r>
          </w:p>
        </w:tc>
      </w:tr>
      <w:tr w:rsidR="0053080F" w:rsidRPr="0031621B" w:rsidTr="0053080F">
        <w:trPr>
          <w:gridAfter w:val="1"/>
          <w:wAfter w:w="265" w:type="dxa"/>
          <w:trHeight w:val="288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62" w:right="100"/>
            </w:pPr>
            <w:r w:rsidRPr="0031621B">
              <w:t>Kenosha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44" w:right="62"/>
              <w:jc w:val="center"/>
            </w:pPr>
            <w:r>
              <w:t>83</w:t>
            </w:r>
            <w:r w:rsidRPr="0031621B"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3080F" w:rsidRDefault="0053080F" w:rsidP="0053080F">
            <w:pPr>
              <w:spacing w:line="252" w:lineRule="auto"/>
              <w:ind w:right="-23"/>
              <w:jc w:val="center"/>
            </w:pPr>
            <w:r>
              <w:t>16%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3080F" w:rsidRDefault="0053080F" w:rsidP="0053080F">
            <w:pPr>
              <w:spacing w:line="252" w:lineRule="auto"/>
              <w:ind w:right="-23"/>
              <w:jc w:val="center"/>
            </w:pPr>
            <w:r>
              <w:t>1%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53080F" w:rsidRPr="0031621B" w:rsidRDefault="0053080F" w:rsidP="0053080F">
            <w:pPr>
              <w:spacing w:line="252" w:lineRule="auto"/>
              <w:jc w:val="center"/>
            </w:pPr>
            <w:r>
              <w:t>75</w:t>
            </w:r>
            <w:r w:rsidRPr="0031621B">
              <w:t>%</w:t>
            </w:r>
          </w:p>
        </w:tc>
      </w:tr>
      <w:tr w:rsidR="0053080F" w:rsidRPr="0031621B" w:rsidTr="0053080F">
        <w:trPr>
          <w:gridAfter w:val="1"/>
          <w:wAfter w:w="265" w:type="dxa"/>
          <w:trHeight w:val="288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62" w:right="100"/>
            </w:pPr>
            <w:r w:rsidRPr="0031621B">
              <w:t>Walworth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left="44" w:right="62"/>
              <w:jc w:val="center"/>
            </w:pPr>
            <w:r>
              <w:t>72</w:t>
            </w:r>
            <w:r w:rsidRPr="0031621B"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17%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12%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80F" w:rsidRPr="0031621B" w:rsidRDefault="0053080F" w:rsidP="0053080F">
            <w:pPr>
              <w:spacing w:line="252" w:lineRule="auto"/>
              <w:ind w:right="-23"/>
              <w:jc w:val="center"/>
            </w:pPr>
            <w:r>
              <w:t>36</w:t>
            </w:r>
            <w:r w:rsidRPr="0031621B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80F" w:rsidRPr="0031621B" w:rsidRDefault="0053080F" w:rsidP="0053080F">
            <w:pPr>
              <w:spacing w:line="252" w:lineRule="auto"/>
              <w:jc w:val="center"/>
            </w:pPr>
            <w:r>
              <w:t>53</w:t>
            </w:r>
            <w:r w:rsidRPr="0031621B">
              <w:t>%</w:t>
            </w:r>
          </w:p>
        </w:tc>
      </w:tr>
    </w:tbl>
    <w:p w:rsidR="00437958" w:rsidRDefault="0053080F" w:rsidP="007B6D3B">
      <w:pPr>
        <w:spacing w:before="120" w:after="120"/>
        <w:ind w:left="-360" w:right="-360"/>
        <w:contextualSpacing/>
      </w:pPr>
      <w:r>
        <w:t>With high demand and increasing prices, usually more supply is created to meet th</w:t>
      </w:r>
      <w:r w:rsidR="00DF2199">
        <w:t>at</w:t>
      </w:r>
      <w:r>
        <w:t xml:space="preserve"> demand. However, very few new </w:t>
      </w:r>
      <w:r w:rsidR="00D7029B">
        <w:t xml:space="preserve">single family or condo </w:t>
      </w:r>
      <w:r>
        <w:t xml:space="preserve">units </w:t>
      </w:r>
      <w:r w:rsidR="00D7029B">
        <w:t xml:space="preserve">have been </w:t>
      </w:r>
      <w:r>
        <w:t>created to alleviate the demand</w:t>
      </w:r>
      <w:r w:rsidR="00D7029B">
        <w:t xml:space="preserve">. </w:t>
      </w:r>
    </w:p>
    <w:p w:rsidR="00CD4658" w:rsidRPr="0031621B" w:rsidRDefault="00CD4658" w:rsidP="007B6D3B">
      <w:pPr>
        <w:spacing w:before="120" w:after="120"/>
        <w:ind w:left="-360" w:right="-360"/>
        <w:contextualSpacing/>
      </w:pPr>
    </w:p>
    <w:p w:rsidR="005479CC" w:rsidRDefault="005479CC" w:rsidP="005479CC">
      <w:pPr>
        <w:spacing w:before="120" w:after="120"/>
        <w:ind w:left="-360" w:right="-360"/>
        <w:contextualSpacing/>
      </w:pPr>
      <w:r w:rsidRPr="0031621B">
        <w:t>Several brokers are concerned that the run-up in apartment construction over the last few years has taken resources away from single-family and condo development, e</w:t>
      </w:r>
      <w:r>
        <w:t>xacerbating the supply problem.</w:t>
      </w:r>
    </w:p>
    <w:p w:rsidR="005479CC" w:rsidRDefault="005479CC" w:rsidP="005479CC">
      <w:pPr>
        <w:spacing w:before="120" w:after="120"/>
        <w:ind w:left="-360" w:right="-360"/>
        <w:contextualSpacing/>
      </w:pPr>
    </w:p>
    <w:p w:rsidR="00470EA4" w:rsidRDefault="005479CC" w:rsidP="00134C6A">
      <w:pPr>
        <w:spacing w:before="120" w:after="120"/>
        <w:ind w:left="-360" w:right="-360"/>
        <w:contextualSpacing/>
      </w:pPr>
      <w:r w:rsidRPr="0031621B">
        <w:t xml:space="preserve">In order to have enough homes to </w:t>
      </w:r>
      <w:r w:rsidR="00D7029B">
        <w:t>get to a “balanced” market in March</w:t>
      </w:r>
      <w:r w:rsidRPr="0031621B">
        <w:t xml:space="preserve"> (6 month</w:t>
      </w:r>
      <w:r w:rsidR="00D7029B">
        <w:t>s</w:t>
      </w:r>
      <w:r w:rsidRPr="0031621B">
        <w:t xml:space="preserve"> of inventory</w:t>
      </w:r>
      <w:r w:rsidR="00D7029B">
        <w:t xml:space="preserve"> </w:t>
      </w:r>
      <w:r w:rsidRPr="0031621B">
        <w:t xml:space="preserve">is </w:t>
      </w:r>
      <w:r w:rsidR="00D7029B">
        <w:t xml:space="preserve">generally </w:t>
      </w:r>
      <w:r w:rsidRPr="0031621B">
        <w:t xml:space="preserve">considered balanced) the market would have needed to add </w:t>
      </w:r>
      <w:r w:rsidR="00D7029B">
        <w:t xml:space="preserve">4,725 </w:t>
      </w:r>
      <w:r w:rsidRPr="0031621B">
        <w:t>units to the current supply.</w:t>
      </w:r>
      <w:r w:rsidR="00D7029B">
        <w:t xml:space="preserve"> And, approximately 3,449 </w:t>
      </w:r>
      <w:r w:rsidR="00134C6A">
        <w:t xml:space="preserve">(73%) </w:t>
      </w:r>
      <w:r w:rsidR="00D7029B">
        <w:t>of those units would have to have been priced under $300, 000.</w:t>
      </w:r>
    </w:p>
    <w:p w:rsidR="00134C6A" w:rsidRPr="00470EA4" w:rsidRDefault="00134C6A" w:rsidP="00134C6A">
      <w:pPr>
        <w:spacing w:before="120" w:after="120"/>
        <w:ind w:left="-360" w:right="-360"/>
        <w:contextualSpacing/>
      </w:pPr>
    </w:p>
    <w:tbl>
      <w:tblPr>
        <w:tblpPr w:leftFromText="180" w:rightFromText="180" w:bottomFromText="115" w:vertAnchor="text" w:horzAnchor="margin" w:tblpX="-360" w:tblpY="39"/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900"/>
        <w:gridCol w:w="810"/>
        <w:gridCol w:w="1170"/>
        <w:gridCol w:w="270"/>
      </w:tblGrid>
      <w:tr w:rsidR="00AE6343" w:rsidRPr="00C41C9C" w:rsidTr="000418A7">
        <w:trPr>
          <w:trHeight w:val="432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521D03" w:rsidP="00AE6343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March</w:t>
            </w:r>
            <w:r w:rsidR="00AE6343" w:rsidRPr="0031621B">
              <w:rPr>
                <w:rFonts w:ascii="Arial Narrow" w:hAnsi="Arial Narrow"/>
                <w:b/>
              </w:rPr>
              <w:t xml:space="preserve"> Listings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:rsidR="00AE6343" w:rsidRPr="0031621B" w:rsidRDefault="00AE6343" w:rsidP="00AE6343">
            <w:pPr>
              <w:ind w:left="175" w:right="100"/>
              <w:rPr>
                <w:b/>
                <w:color w:val="FFFFFF" w:themeColor="background1"/>
              </w:rPr>
            </w:pPr>
            <w:r w:rsidRPr="0031621B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9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343" w:rsidRPr="0031621B" w:rsidRDefault="00AE6343" w:rsidP="00C858FE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 w:rsidR="00C858FE">
              <w:rPr>
                <w:color w:val="FFFFFF" w:themeColor="background1"/>
              </w:rPr>
              <w:t>8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343" w:rsidRPr="0031621B" w:rsidRDefault="00AE6343" w:rsidP="00C858FE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 w:rsidR="00C858FE">
              <w:rPr>
                <w:color w:val="FFFFFF" w:themeColor="background1"/>
              </w:rPr>
              <w:t>9</w:t>
            </w:r>
          </w:p>
        </w:tc>
        <w:tc>
          <w:tcPr>
            <w:tcW w:w="11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1F4E79" w:themeFill="accent1" w:themeFillShade="80"/>
          </w:tcPr>
          <w:p w:rsidR="00AE6343" w:rsidRPr="0031621B" w:rsidRDefault="00AE6343" w:rsidP="00AE6343">
            <w:pPr>
              <w:ind w:left="89" w:right="90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% Change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Milwaukee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343" w:rsidRPr="0031621B" w:rsidRDefault="003932C3" w:rsidP="00AE6343">
            <w:pPr>
              <w:rPr>
                <w:rFonts w:cs="Arial"/>
              </w:rPr>
            </w:pPr>
            <w:r>
              <w:rPr>
                <w:rFonts w:cs="Arial"/>
              </w:rPr>
              <w:t>1,429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343" w:rsidRPr="0031621B" w:rsidRDefault="003932C3" w:rsidP="00AE6343">
            <w:pPr>
              <w:rPr>
                <w:rFonts w:cs="Arial"/>
              </w:rPr>
            </w:pPr>
            <w:r>
              <w:rPr>
                <w:rFonts w:cs="Arial"/>
              </w:rPr>
              <w:t>1262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343" w:rsidRPr="0031621B" w:rsidRDefault="003932C3" w:rsidP="00AE6343">
            <w:pPr>
              <w:spacing w:line="252" w:lineRule="auto"/>
              <w:ind w:left="95" w:right="445"/>
              <w:jc w:val="right"/>
            </w:pPr>
            <w:r>
              <w:t>-11.7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Waukesha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343" w:rsidRPr="0031621B" w:rsidRDefault="003932C3" w:rsidP="00AE6343">
            <w:pPr>
              <w:rPr>
                <w:rFonts w:cs="Arial"/>
              </w:rPr>
            </w:pPr>
            <w:r>
              <w:rPr>
                <w:rFonts w:cs="Arial"/>
              </w:rPr>
              <w:t>734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343" w:rsidRPr="0031621B" w:rsidRDefault="003932C3" w:rsidP="00AE6343">
            <w:pPr>
              <w:rPr>
                <w:rFonts w:cs="Arial"/>
              </w:rPr>
            </w:pPr>
            <w:r>
              <w:rPr>
                <w:rFonts w:cs="Arial"/>
              </w:rPr>
              <w:t>663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31621B" w:rsidRDefault="003932C3" w:rsidP="00AE6343">
            <w:pPr>
              <w:spacing w:line="252" w:lineRule="auto"/>
              <w:ind w:left="95" w:right="445"/>
              <w:jc w:val="right"/>
            </w:pPr>
            <w:r>
              <w:t>-9.7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Washington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</w:pPr>
            <w:r>
              <w:t>194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right="-23"/>
            </w:pPr>
            <w:r>
              <w:t>215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343" w:rsidRPr="0031621B" w:rsidRDefault="003932C3" w:rsidP="00AE6343">
            <w:pPr>
              <w:spacing w:line="252" w:lineRule="auto"/>
              <w:ind w:left="95" w:right="445"/>
              <w:jc w:val="right"/>
            </w:pPr>
            <w:r>
              <w:t>10.8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Ozaukee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</w:pPr>
            <w:r>
              <w:t>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right="-23"/>
            </w:pPr>
            <w:r>
              <w:t>139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31621B" w:rsidRDefault="00C858FE" w:rsidP="00AE6343">
            <w:pPr>
              <w:spacing w:line="252" w:lineRule="auto"/>
              <w:ind w:left="95" w:right="445"/>
              <w:jc w:val="right"/>
            </w:pPr>
            <w:r>
              <w:t>-</w:t>
            </w:r>
            <w:r w:rsidR="003932C3">
              <w:t>16.8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4 County Area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left="44" w:right="62"/>
            </w:pPr>
            <w:r>
              <w:t>2,524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right="-23"/>
            </w:pPr>
            <w:r>
              <w:t>2,279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343" w:rsidRPr="0031621B" w:rsidRDefault="003932C3" w:rsidP="00AE6343">
            <w:pPr>
              <w:spacing w:line="252" w:lineRule="auto"/>
              <w:ind w:left="95" w:right="445"/>
              <w:jc w:val="right"/>
            </w:pPr>
            <w:r>
              <w:t>-9.7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14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156337" w:rsidRDefault="00AE6343" w:rsidP="00AE6343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156337" w:rsidRDefault="00AE6343" w:rsidP="00AE6343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156337" w:rsidRDefault="00AE6343" w:rsidP="00AE6343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156337" w:rsidRDefault="00AE6343" w:rsidP="00AE6343">
            <w:pPr>
              <w:spacing w:line="252" w:lineRule="auto"/>
              <w:ind w:left="95" w:right="445"/>
              <w:jc w:val="right"/>
              <w:rPr>
                <w:sz w:val="10"/>
                <w:szCs w:val="10"/>
              </w:rPr>
            </w:pP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Racine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left="44" w:right="62"/>
            </w:pPr>
            <w: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right="-23"/>
            </w:pPr>
            <w:r>
              <w:t>279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343" w:rsidRPr="0031621B" w:rsidRDefault="00C858FE" w:rsidP="00AE6343">
            <w:pPr>
              <w:spacing w:line="252" w:lineRule="auto"/>
              <w:ind w:left="95" w:right="445"/>
              <w:jc w:val="right"/>
            </w:pPr>
            <w:r>
              <w:t>-</w:t>
            </w:r>
            <w:r w:rsidR="003932C3">
              <w:t>18.4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Kenosha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left="44" w:right="62"/>
            </w:pPr>
            <w:r>
              <w:t>285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right="-23"/>
            </w:pPr>
            <w:r>
              <w:t>278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31621B" w:rsidRDefault="003932C3" w:rsidP="00AE6343">
            <w:pPr>
              <w:spacing w:line="252" w:lineRule="auto"/>
              <w:ind w:left="95" w:right="445"/>
              <w:jc w:val="right"/>
            </w:pPr>
            <w:r>
              <w:t>-2.5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Walworth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left="44" w:right="62"/>
            </w:pPr>
            <w:r>
              <w:t>267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right="-23"/>
            </w:pPr>
            <w:r>
              <w:t>206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343" w:rsidRPr="0031621B" w:rsidRDefault="003932C3" w:rsidP="00AE6343">
            <w:pPr>
              <w:spacing w:line="252" w:lineRule="auto"/>
              <w:ind w:left="95" w:right="445"/>
              <w:jc w:val="right"/>
            </w:pPr>
            <w:r>
              <w:t>-21.7</w:t>
            </w:r>
            <w:r w:rsidR="00AE6343" w:rsidRPr="0031621B">
              <w:t>%</w:t>
            </w:r>
          </w:p>
        </w:tc>
      </w:tr>
      <w:tr w:rsidR="00AE6343" w:rsidRPr="00C41C9C" w:rsidTr="000418A7">
        <w:trPr>
          <w:gridAfter w:val="1"/>
          <w:wAfter w:w="27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AE6343" w:rsidP="00AE6343">
            <w:pPr>
              <w:spacing w:line="252" w:lineRule="auto"/>
              <w:ind w:left="62" w:right="100"/>
            </w:pPr>
            <w:r w:rsidRPr="0031621B">
              <w:t>7 County Area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left="44" w:right="62"/>
            </w:pPr>
            <w:r>
              <w:t>3418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43" w:rsidRPr="0031621B" w:rsidRDefault="003932C3" w:rsidP="00AE6343">
            <w:pPr>
              <w:spacing w:line="252" w:lineRule="auto"/>
              <w:ind w:right="-23"/>
            </w:pPr>
            <w:r>
              <w:t>3042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AE6343" w:rsidRPr="0031621B" w:rsidRDefault="003932C3" w:rsidP="00AE6343">
            <w:pPr>
              <w:spacing w:line="252" w:lineRule="auto"/>
              <w:ind w:left="95" w:right="445"/>
              <w:jc w:val="right"/>
            </w:pPr>
            <w:r>
              <w:t>-11.0</w:t>
            </w:r>
            <w:r w:rsidR="00AE6343" w:rsidRPr="0031621B">
              <w:t>%</w:t>
            </w:r>
          </w:p>
        </w:tc>
      </w:tr>
    </w:tbl>
    <w:p w:rsidR="00134C6A" w:rsidRDefault="00134C6A" w:rsidP="007B6D3B">
      <w:pPr>
        <w:spacing w:before="120" w:after="120"/>
        <w:ind w:left="-360" w:right="-360"/>
        <w:contextualSpacing/>
      </w:pPr>
    </w:p>
    <w:p w:rsidR="000F21F9" w:rsidRPr="0031621B" w:rsidRDefault="00FE64F6" w:rsidP="007B6D3B">
      <w:pPr>
        <w:spacing w:before="120" w:after="120"/>
        <w:ind w:left="-360" w:right="-360"/>
        <w:contextualSpacing/>
        <w:rPr>
          <w:b/>
          <w:u w:val="single"/>
        </w:rPr>
      </w:pPr>
      <w:r w:rsidRPr="0031621B">
        <w:rPr>
          <w:b/>
        </w:rPr>
        <w:t>L</w:t>
      </w:r>
      <w:r w:rsidR="00156337" w:rsidRPr="0031621B">
        <w:rPr>
          <w:b/>
        </w:rPr>
        <w:t>istings</w:t>
      </w:r>
    </w:p>
    <w:p w:rsidR="00134C6A" w:rsidRDefault="005460CE" w:rsidP="001F5CBD">
      <w:pPr>
        <w:spacing w:before="120" w:after="120"/>
        <w:ind w:left="-360" w:right="-360"/>
        <w:contextualSpacing/>
      </w:pPr>
      <w:r w:rsidRPr="0031621B">
        <w:t xml:space="preserve">Listings were </w:t>
      </w:r>
      <w:r w:rsidR="00134C6A">
        <w:t>down</w:t>
      </w:r>
      <w:r w:rsidR="00742C85" w:rsidRPr="0031621B">
        <w:t xml:space="preserve"> </w:t>
      </w:r>
      <w:r w:rsidR="00134C6A">
        <w:t xml:space="preserve">all over </w:t>
      </w:r>
      <w:r w:rsidR="00742C85" w:rsidRPr="0031621B">
        <w:t>Southeastern Wisconsin</w:t>
      </w:r>
      <w:r w:rsidR="007E0B53" w:rsidRPr="0031621B">
        <w:t xml:space="preserve"> </w:t>
      </w:r>
      <w:r w:rsidR="00965378" w:rsidRPr="0031621B">
        <w:t xml:space="preserve">in </w:t>
      </w:r>
      <w:r w:rsidR="00521D03">
        <w:t>March</w:t>
      </w:r>
      <w:r w:rsidR="00742C85" w:rsidRPr="0031621B">
        <w:t>.  The 4</w:t>
      </w:r>
      <w:r w:rsidR="00657D2E" w:rsidRPr="0031621B">
        <w:t xml:space="preserve"> </w:t>
      </w:r>
      <w:r w:rsidR="00742C85" w:rsidRPr="0031621B">
        <w:t xml:space="preserve">county area </w:t>
      </w:r>
      <w:r w:rsidR="00FE3DE4">
        <w:t xml:space="preserve">went </w:t>
      </w:r>
      <w:r w:rsidR="00134C6A">
        <w:t xml:space="preserve">down 245 </w:t>
      </w:r>
      <w:r w:rsidR="00742C85" w:rsidRPr="0031621B">
        <w:t>units</w:t>
      </w:r>
      <w:r w:rsidR="00134C6A">
        <w:t>, 9.7%</w:t>
      </w:r>
      <w:r w:rsidR="00742C85" w:rsidRPr="0031621B">
        <w:t>.</w:t>
      </w:r>
      <w:r w:rsidR="00657D2E" w:rsidRPr="0031621B">
        <w:t xml:space="preserve"> </w:t>
      </w:r>
      <w:r w:rsidR="00134C6A">
        <w:t>The 7 county Southeastern Wisconsin area was down 11%, or 376 units.</w:t>
      </w:r>
    </w:p>
    <w:p w:rsidR="00134C6A" w:rsidRDefault="00134C6A" w:rsidP="001F5CBD">
      <w:pPr>
        <w:spacing w:before="120" w:after="120"/>
        <w:ind w:left="-360" w:right="-360"/>
        <w:contextualSpacing/>
      </w:pPr>
    </w:p>
    <w:p w:rsidR="00FE3DE4" w:rsidRDefault="00134C6A" w:rsidP="001F5CBD">
      <w:pPr>
        <w:spacing w:before="120" w:after="120"/>
        <w:ind w:left="-360" w:right="-360"/>
        <w:contextualSpacing/>
      </w:pPr>
      <w:r>
        <w:t>Listings seemed to perk up in the 4</w:t>
      </w:r>
      <w:r w:rsidRPr="00134C6A">
        <w:rPr>
          <w:vertAlign w:val="superscript"/>
        </w:rPr>
        <w:t>th</w:t>
      </w:r>
      <w:r>
        <w:t xml:space="preserve"> quarter of 2018 and in January 2019</w:t>
      </w:r>
      <w:r w:rsidR="00DF5C48">
        <w:t xml:space="preserve">, but not enough to provide any </w:t>
      </w:r>
      <w:r w:rsidR="00DF2199">
        <w:t xml:space="preserve">serious </w:t>
      </w:r>
      <w:r w:rsidR="00DF5C48">
        <w:t>relief. Through the 1</w:t>
      </w:r>
      <w:r w:rsidR="00DF5C48" w:rsidRPr="00DF5C48">
        <w:rPr>
          <w:vertAlign w:val="superscript"/>
        </w:rPr>
        <w:t>st</w:t>
      </w:r>
      <w:r w:rsidR="00DF5C48">
        <w:t xml:space="preserve"> quarter of 2019 listings were down throughout Southeastern Wisconsin, by double digits in some areas.</w:t>
      </w:r>
    </w:p>
    <w:p w:rsidR="00DF5C48" w:rsidRPr="0031621B" w:rsidRDefault="00DF5C48" w:rsidP="001F5CBD">
      <w:pPr>
        <w:spacing w:before="120" w:after="120"/>
        <w:ind w:left="-360" w:right="-360"/>
        <w:contextualSpacing/>
      </w:pPr>
    </w:p>
    <w:p w:rsidR="0031621B" w:rsidRDefault="00DF5C48" w:rsidP="00DF5C48">
      <w:pPr>
        <w:spacing w:before="120" w:after="120"/>
        <w:ind w:left="4680" w:right="-360"/>
        <w:contextualSpacing/>
        <w:rPr>
          <w:bCs/>
          <w:sz w:val="24"/>
          <w:szCs w:val="24"/>
        </w:rPr>
      </w:pPr>
      <w:r>
        <w:t>Over the last 2 years</w:t>
      </w:r>
      <w:r w:rsidR="0089320B" w:rsidRPr="0031621B">
        <w:t xml:space="preserve">, </w:t>
      </w:r>
      <w:r w:rsidR="005460CE" w:rsidRPr="0031621B">
        <w:t>1</w:t>
      </w:r>
      <w:r>
        <w:t>0</w:t>
      </w:r>
      <w:r w:rsidR="0089320B" w:rsidRPr="0031621B">
        <w:t xml:space="preserve"> months</w:t>
      </w:r>
      <w:r>
        <w:t xml:space="preserve"> showed gains in listings</w:t>
      </w:r>
      <w:r w:rsidR="0089320B" w:rsidRPr="0031621B">
        <w:t xml:space="preserve">, </w:t>
      </w:r>
      <w:r>
        <w:t xml:space="preserve">14 months </w:t>
      </w:r>
      <w:r w:rsidR="00E72019" w:rsidRPr="0031621B">
        <w:t>had a de</w:t>
      </w:r>
      <w:r w:rsidR="0089320B" w:rsidRPr="0031621B">
        <w:t xml:space="preserve">crease in homes listed for sale. </w:t>
      </w:r>
    </w:p>
    <w:tbl>
      <w:tblPr>
        <w:tblpPr w:leftFromText="180" w:rightFromText="180" w:bottomFromText="115" w:vertAnchor="text" w:horzAnchor="page" w:tblpX="1111" w:tblpY="129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935"/>
        <w:gridCol w:w="865"/>
        <w:gridCol w:w="1080"/>
        <w:gridCol w:w="265"/>
      </w:tblGrid>
      <w:tr w:rsidR="005640BF" w:rsidRPr="00C41C9C" w:rsidTr="000418A7">
        <w:trPr>
          <w:trHeight w:val="432"/>
        </w:trPr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BF" w:rsidRPr="0031621B" w:rsidRDefault="00521D03" w:rsidP="00C858FE">
            <w:pPr>
              <w:spacing w:line="252" w:lineRule="auto"/>
              <w:ind w:left="-108" w:right="8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1st</w:t>
            </w:r>
            <w:r w:rsidR="009D4F89" w:rsidRPr="0031621B">
              <w:rPr>
                <w:rFonts w:ascii="Arial Narrow" w:hAnsi="Arial Narrow"/>
                <w:b/>
              </w:rPr>
              <w:t xml:space="preserve"> </w:t>
            </w:r>
            <w:r w:rsidR="005640BF" w:rsidRPr="0031621B">
              <w:rPr>
                <w:rFonts w:ascii="Arial Narrow" w:hAnsi="Arial Narrow"/>
                <w:b/>
              </w:rPr>
              <w:t>Quarter Listings</w:t>
            </w:r>
            <w:r w:rsidR="00D1723D" w:rsidRPr="0031621B">
              <w:rPr>
                <w:rFonts w:ascii="Arial Narrow" w:hAnsi="Arial Narrow"/>
                <w:b/>
              </w:rPr>
              <w:t xml:space="preserve"> </w:t>
            </w:r>
            <w:r w:rsidR="00D1723D" w:rsidRPr="0031621B">
              <w:rPr>
                <w:rFonts w:ascii="Arial Narrow" w:hAnsi="Arial Narrow"/>
              </w:rPr>
              <w:t xml:space="preserve">(Jan 1 – </w:t>
            </w:r>
            <w:r w:rsidR="00C858FE">
              <w:rPr>
                <w:rFonts w:ascii="Arial Narrow" w:hAnsi="Arial Narrow"/>
              </w:rPr>
              <w:t>Mar</w:t>
            </w:r>
            <w:r w:rsidR="00D1723D" w:rsidRPr="0031621B">
              <w:rPr>
                <w:rFonts w:ascii="Arial Narrow" w:hAnsi="Arial Narrow"/>
              </w:rPr>
              <w:t xml:space="preserve"> 31)</w:t>
            </w:r>
          </w:p>
        </w:tc>
      </w:tr>
      <w:tr w:rsidR="005640BF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5640BF" w:rsidRPr="0031621B" w:rsidRDefault="005640BF" w:rsidP="001111CB">
            <w:pPr>
              <w:ind w:left="175" w:right="100"/>
              <w:rPr>
                <w:b/>
                <w:color w:val="FFFFFF" w:themeColor="background1"/>
              </w:rPr>
            </w:pPr>
            <w:r w:rsidRPr="0031621B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93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BF" w:rsidRPr="0031621B" w:rsidRDefault="00C858FE" w:rsidP="001111CB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86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BF" w:rsidRPr="0031621B" w:rsidRDefault="005640BF" w:rsidP="00C858FE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 w:rsidR="00C858FE">
              <w:rPr>
                <w:color w:val="FFFFFF" w:themeColor="background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5640BF" w:rsidRPr="0031621B" w:rsidRDefault="005640BF" w:rsidP="001111CB">
            <w:pPr>
              <w:ind w:left="89" w:right="90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% Change</w:t>
            </w:r>
          </w:p>
        </w:tc>
      </w:tr>
      <w:tr w:rsidR="006E0511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Milwaukee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511" w:rsidRPr="0031621B" w:rsidRDefault="00C858FE" w:rsidP="00800766">
            <w:pPr>
              <w:rPr>
                <w:rFonts w:cs="Arial"/>
              </w:rPr>
            </w:pPr>
            <w:r>
              <w:rPr>
                <w:rFonts w:cs="Arial"/>
              </w:rPr>
              <w:t>3,501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511" w:rsidRPr="0031621B" w:rsidRDefault="00C858FE" w:rsidP="00800766">
            <w:pPr>
              <w:rPr>
                <w:rFonts w:cs="Arial"/>
              </w:rPr>
            </w:pPr>
            <w:r>
              <w:rPr>
                <w:rFonts w:cs="Arial"/>
              </w:rPr>
              <w:t>3,158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511" w:rsidRPr="0031621B" w:rsidRDefault="006E0511" w:rsidP="00C858FE">
            <w:pPr>
              <w:spacing w:line="252" w:lineRule="auto"/>
              <w:ind w:left="95" w:right="270"/>
              <w:jc w:val="right"/>
            </w:pPr>
            <w:r w:rsidRPr="0031621B">
              <w:t>-</w:t>
            </w:r>
            <w:r w:rsidR="00C858FE">
              <w:t>9.8</w:t>
            </w:r>
            <w:r w:rsidRPr="0031621B">
              <w:t>%</w:t>
            </w:r>
          </w:p>
        </w:tc>
      </w:tr>
      <w:tr w:rsidR="006E0511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Waukesha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511" w:rsidRPr="0031621B" w:rsidRDefault="00C858FE" w:rsidP="006E0511">
            <w:pPr>
              <w:rPr>
                <w:rFonts w:cs="Arial"/>
              </w:rPr>
            </w:pPr>
            <w:r>
              <w:rPr>
                <w:rFonts w:cs="Arial"/>
              </w:rPr>
              <w:t>1,553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511" w:rsidRPr="0031621B" w:rsidRDefault="00C858FE" w:rsidP="00800766">
            <w:pPr>
              <w:rPr>
                <w:rFonts w:cs="Arial"/>
              </w:rPr>
            </w:pPr>
            <w:r>
              <w:rPr>
                <w:rFonts w:cs="Arial"/>
              </w:rPr>
              <w:t>1,528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31621B" w:rsidRDefault="00C858FE" w:rsidP="00C858FE">
            <w:pPr>
              <w:spacing w:line="252" w:lineRule="auto"/>
              <w:ind w:left="95" w:right="270"/>
              <w:jc w:val="right"/>
            </w:pPr>
            <w:r>
              <w:t>-1.6</w:t>
            </w:r>
            <w:r w:rsidR="006E0511" w:rsidRPr="0031621B">
              <w:t>%</w:t>
            </w:r>
          </w:p>
        </w:tc>
      </w:tr>
      <w:tr w:rsidR="006E0511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Washington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</w:pPr>
            <w:r>
              <w:t>523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511" w:rsidRPr="0031621B" w:rsidRDefault="00C858FE" w:rsidP="00C858FE">
            <w:pPr>
              <w:spacing w:line="252" w:lineRule="auto"/>
              <w:ind w:left="95" w:right="270"/>
              <w:jc w:val="right"/>
            </w:pPr>
            <w:r>
              <w:t>-9.0</w:t>
            </w:r>
            <w:r w:rsidR="006E0511" w:rsidRPr="0031621B">
              <w:t>%</w:t>
            </w:r>
          </w:p>
        </w:tc>
      </w:tr>
      <w:tr w:rsidR="006E0511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Ozaukee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</w:pPr>
            <w:r>
              <w:t>427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31621B" w:rsidRDefault="006E0511" w:rsidP="00C858FE">
            <w:pPr>
              <w:spacing w:line="252" w:lineRule="auto"/>
              <w:ind w:left="95" w:right="270"/>
              <w:jc w:val="right"/>
            </w:pPr>
            <w:r w:rsidRPr="0031621B">
              <w:t>-</w:t>
            </w:r>
            <w:r w:rsidR="00C858FE">
              <w:t>15.7</w:t>
            </w:r>
            <w:r w:rsidRPr="0031621B">
              <w:t>%</w:t>
            </w:r>
          </w:p>
        </w:tc>
      </w:tr>
      <w:tr w:rsidR="006E0511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4 County Area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left="44" w:right="62"/>
            </w:pPr>
            <w:r>
              <w:t>6,004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5,522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511" w:rsidRPr="0031621B" w:rsidRDefault="00C858FE" w:rsidP="00C858FE">
            <w:pPr>
              <w:spacing w:line="252" w:lineRule="auto"/>
              <w:ind w:left="95" w:right="270"/>
              <w:jc w:val="right"/>
            </w:pPr>
            <w:r>
              <w:t>-8.0</w:t>
            </w:r>
            <w:r w:rsidR="006E0511" w:rsidRPr="0031621B">
              <w:t>%</w:t>
            </w:r>
          </w:p>
        </w:tc>
      </w:tr>
      <w:tr w:rsidR="006E0511" w:rsidRPr="00C41C9C" w:rsidTr="000418A7">
        <w:trPr>
          <w:gridAfter w:val="1"/>
          <w:wAfter w:w="265" w:type="dxa"/>
          <w:trHeight w:val="17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156337" w:rsidRDefault="006E0511" w:rsidP="006E0511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156337" w:rsidRDefault="006E0511" w:rsidP="006E0511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156337" w:rsidRDefault="006E0511" w:rsidP="006E0511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156337" w:rsidRDefault="006E0511" w:rsidP="00C858FE">
            <w:pPr>
              <w:spacing w:line="252" w:lineRule="auto"/>
              <w:ind w:left="95" w:right="270"/>
              <w:jc w:val="center"/>
              <w:rPr>
                <w:sz w:val="10"/>
                <w:szCs w:val="10"/>
              </w:rPr>
            </w:pPr>
          </w:p>
        </w:tc>
      </w:tr>
      <w:tr w:rsidR="006E0511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Racine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left="44" w:right="62"/>
            </w:pPr>
            <w:r>
              <w:t>726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511" w:rsidRPr="0031621B" w:rsidRDefault="00C858FE" w:rsidP="00C858FE">
            <w:pPr>
              <w:spacing w:line="252" w:lineRule="auto"/>
              <w:ind w:left="95" w:right="270"/>
              <w:jc w:val="right"/>
            </w:pPr>
            <w:r>
              <w:t>-4.8</w:t>
            </w:r>
            <w:r w:rsidR="006E0511" w:rsidRPr="0031621B">
              <w:t>%</w:t>
            </w:r>
          </w:p>
        </w:tc>
      </w:tr>
      <w:tr w:rsidR="006E0511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Kenosha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left="44" w:right="62"/>
            </w:pPr>
            <w:r>
              <w:t>604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31621B" w:rsidRDefault="00C858FE" w:rsidP="00C858FE">
            <w:pPr>
              <w:spacing w:line="252" w:lineRule="auto"/>
              <w:ind w:left="95" w:right="270"/>
              <w:jc w:val="right"/>
            </w:pPr>
            <w:r>
              <w:t>6.3</w:t>
            </w:r>
            <w:r w:rsidR="006E0511" w:rsidRPr="0031621B">
              <w:t>%</w:t>
            </w:r>
          </w:p>
        </w:tc>
      </w:tr>
      <w:tr w:rsidR="006E0511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Walworth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left="44" w:right="62"/>
            </w:pPr>
            <w:r>
              <w:t>608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511" w:rsidRPr="0031621B" w:rsidRDefault="00C858FE" w:rsidP="00C858FE">
            <w:pPr>
              <w:spacing w:line="252" w:lineRule="auto"/>
              <w:ind w:left="95" w:right="270"/>
              <w:jc w:val="right"/>
            </w:pPr>
            <w:r>
              <w:t>-13.5</w:t>
            </w:r>
            <w:r w:rsidR="006E0511" w:rsidRPr="0031621B">
              <w:t>%</w:t>
            </w:r>
          </w:p>
        </w:tc>
      </w:tr>
      <w:tr w:rsidR="006E0511" w:rsidRPr="00C41C9C" w:rsidTr="000418A7">
        <w:trPr>
          <w:gridAfter w:val="1"/>
          <w:wAfter w:w="265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6E0511" w:rsidP="006E0511">
            <w:pPr>
              <w:spacing w:line="252" w:lineRule="auto"/>
              <w:ind w:left="62" w:right="100"/>
            </w:pPr>
            <w:r w:rsidRPr="0031621B">
              <w:t>7 County Area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left="44" w:right="62"/>
            </w:pPr>
            <w:r>
              <w:t>7,942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511" w:rsidRPr="0031621B" w:rsidRDefault="00C858FE" w:rsidP="00800766">
            <w:pPr>
              <w:spacing w:line="252" w:lineRule="auto"/>
              <w:ind w:right="-23"/>
            </w:pPr>
            <w:r>
              <w:t>7,381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6E0511" w:rsidRPr="0031621B" w:rsidRDefault="006E0511" w:rsidP="00C858FE">
            <w:pPr>
              <w:spacing w:line="252" w:lineRule="auto"/>
              <w:ind w:left="95" w:right="270"/>
              <w:jc w:val="right"/>
            </w:pPr>
            <w:r w:rsidRPr="0031621B">
              <w:t>-</w:t>
            </w:r>
            <w:r w:rsidR="00C858FE">
              <w:t>7.1</w:t>
            </w:r>
            <w:r w:rsidRPr="0031621B">
              <w:t>%</w:t>
            </w:r>
          </w:p>
        </w:tc>
      </w:tr>
    </w:tbl>
    <w:p w:rsidR="005640BF" w:rsidRDefault="005640BF" w:rsidP="001F5CBD">
      <w:pPr>
        <w:spacing w:before="120" w:after="120"/>
        <w:ind w:left="-360" w:right="-360"/>
        <w:contextualSpacing/>
        <w:rPr>
          <w:bCs/>
          <w:sz w:val="24"/>
          <w:szCs w:val="24"/>
        </w:rPr>
      </w:pPr>
    </w:p>
    <w:p w:rsidR="00027002" w:rsidRPr="0031621B" w:rsidRDefault="00027002" w:rsidP="001F5CBD">
      <w:pPr>
        <w:spacing w:before="120" w:after="120"/>
        <w:ind w:left="-360" w:right="-360"/>
        <w:contextualSpacing/>
        <w:rPr>
          <w:bCs/>
        </w:rPr>
      </w:pPr>
    </w:p>
    <w:p w:rsidR="00C066D8" w:rsidRPr="0031621B" w:rsidRDefault="00C066D8">
      <w:pPr>
        <w:spacing w:after="160" w:line="259" w:lineRule="auto"/>
        <w:rPr>
          <w:bCs/>
        </w:rPr>
      </w:pPr>
    </w:p>
    <w:p w:rsidR="005640BF" w:rsidRPr="0031621B" w:rsidRDefault="005640BF">
      <w:pPr>
        <w:spacing w:after="160" w:line="259" w:lineRule="auto"/>
        <w:rPr>
          <w:bCs/>
        </w:rPr>
      </w:pPr>
    </w:p>
    <w:p w:rsidR="005640BF" w:rsidRDefault="005640BF">
      <w:pPr>
        <w:spacing w:after="160" w:line="259" w:lineRule="auto"/>
        <w:rPr>
          <w:bCs/>
        </w:rPr>
      </w:pPr>
    </w:p>
    <w:p w:rsidR="00AE6343" w:rsidRPr="0031621B" w:rsidRDefault="00AE6343">
      <w:pPr>
        <w:spacing w:after="160" w:line="259" w:lineRule="auto"/>
        <w:rPr>
          <w:bCs/>
        </w:rPr>
      </w:pPr>
    </w:p>
    <w:p w:rsidR="005640BF" w:rsidRPr="0031621B" w:rsidRDefault="005640BF">
      <w:pPr>
        <w:spacing w:after="160" w:line="259" w:lineRule="auto"/>
        <w:rPr>
          <w:bCs/>
        </w:rPr>
      </w:pPr>
    </w:p>
    <w:p w:rsidR="005640BF" w:rsidRPr="0031621B" w:rsidRDefault="005640BF">
      <w:pPr>
        <w:spacing w:after="160" w:line="259" w:lineRule="auto"/>
        <w:rPr>
          <w:bCs/>
        </w:rPr>
      </w:pPr>
    </w:p>
    <w:p w:rsidR="005640BF" w:rsidRPr="0031621B" w:rsidRDefault="005640BF">
      <w:pPr>
        <w:spacing w:after="160" w:line="259" w:lineRule="auto"/>
        <w:rPr>
          <w:bCs/>
        </w:rPr>
      </w:pPr>
    </w:p>
    <w:p w:rsidR="005640BF" w:rsidRDefault="005640BF">
      <w:pPr>
        <w:spacing w:after="160" w:line="259" w:lineRule="auto"/>
        <w:rPr>
          <w:bCs/>
        </w:rPr>
      </w:pPr>
    </w:p>
    <w:p w:rsidR="00DF5C48" w:rsidRDefault="00DF5C48">
      <w:pPr>
        <w:spacing w:after="160" w:line="259" w:lineRule="auto"/>
        <w:rPr>
          <w:bCs/>
        </w:rPr>
      </w:pPr>
    </w:p>
    <w:p w:rsidR="00DF5C48" w:rsidRDefault="00DF5C48">
      <w:pPr>
        <w:spacing w:after="160" w:line="259" w:lineRule="auto"/>
        <w:rPr>
          <w:bCs/>
        </w:rPr>
      </w:pPr>
    </w:p>
    <w:p w:rsidR="00DF5C48" w:rsidRPr="0031621B" w:rsidRDefault="00DF5C48">
      <w:pPr>
        <w:spacing w:after="160" w:line="259" w:lineRule="auto"/>
        <w:rPr>
          <w:bCs/>
        </w:rPr>
      </w:pPr>
    </w:p>
    <w:p w:rsidR="00127EF0" w:rsidRPr="00D10468" w:rsidRDefault="00127EF0" w:rsidP="001F5CBD">
      <w:pPr>
        <w:spacing w:before="120" w:after="120"/>
        <w:ind w:left="-360" w:right="-360"/>
        <w:contextualSpacing/>
        <w:rPr>
          <w:b/>
          <w:bCs/>
        </w:rPr>
      </w:pPr>
      <w:r w:rsidRPr="00D10468">
        <w:rPr>
          <w:b/>
          <w:bCs/>
        </w:rPr>
        <w:t>Inventory</w:t>
      </w:r>
    </w:p>
    <w:p w:rsidR="004A5FC1" w:rsidRPr="0031621B" w:rsidRDefault="004A5FC1" w:rsidP="001F5CBD">
      <w:pPr>
        <w:spacing w:before="120" w:after="120"/>
        <w:ind w:left="-360" w:right="-360"/>
        <w:contextualSpacing/>
      </w:pPr>
      <w:r w:rsidRPr="0031621B">
        <w:t>Seasonally adjusted inventory is calculated by taking the homes available for sale in a given month and comparing them to the past 12 months</w:t>
      </w:r>
      <w:r w:rsidR="00D0513E" w:rsidRPr="0031621B">
        <w:t>’</w:t>
      </w:r>
      <w:r w:rsidRPr="0031621B">
        <w:t xml:space="preserve"> average sales.  This tells us how many months it would take to sell the existing homes on the market. </w:t>
      </w:r>
    </w:p>
    <w:p w:rsidR="004A5FC1" w:rsidRPr="0031621B" w:rsidRDefault="0099394E" w:rsidP="007848D3">
      <w:pPr>
        <w:spacing w:before="120" w:after="120"/>
        <w:ind w:left="-360" w:right="-360"/>
        <w:contextualSpacing/>
        <w:jc w:val="right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81915</wp:posOffset>
            </wp:positionV>
            <wp:extent cx="4761442" cy="2953809"/>
            <wp:effectExtent l="0" t="0" r="1270" b="1841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A5FC1" w:rsidRPr="0031621B" w:rsidRDefault="004A5FC1" w:rsidP="001F5CBD">
      <w:pPr>
        <w:spacing w:before="120" w:after="120"/>
        <w:ind w:left="-360" w:right="-360"/>
        <w:contextualSpacing/>
      </w:pPr>
      <w:r w:rsidRPr="0031621B">
        <w:t xml:space="preserve">The seasonally adjusted inventory level for </w:t>
      </w:r>
      <w:r w:rsidR="00521D03">
        <w:t>March</w:t>
      </w:r>
      <w:r w:rsidR="001111CB" w:rsidRPr="0031621B">
        <w:t xml:space="preserve"> was </w:t>
      </w:r>
      <w:r w:rsidR="00DF5C48">
        <w:t>3</w:t>
      </w:r>
      <w:r w:rsidR="000418A7">
        <w:t>.</w:t>
      </w:r>
      <w:r w:rsidR="00DF5C48">
        <w:t>2</w:t>
      </w:r>
      <w:r w:rsidRPr="0031621B">
        <w:t xml:space="preserve"> months, </w:t>
      </w:r>
      <w:r w:rsidR="005460CE" w:rsidRPr="0031621B">
        <w:t xml:space="preserve">down from </w:t>
      </w:r>
      <w:r w:rsidR="007034D3">
        <w:t>February’s 2</w:t>
      </w:r>
      <w:r w:rsidR="000418A7">
        <w:t>.</w:t>
      </w:r>
      <w:r w:rsidR="007034D3">
        <w:t>9</w:t>
      </w:r>
      <w:r w:rsidRPr="0031621B">
        <w:t xml:space="preserve"> month level.  The seasonally adjusted level was </w:t>
      </w:r>
      <w:r w:rsidR="007034D3">
        <w:t>3.5</w:t>
      </w:r>
      <w:r w:rsidRPr="0031621B">
        <w:t xml:space="preserve"> months in </w:t>
      </w:r>
      <w:r w:rsidR="00521D03">
        <w:t>March</w:t>
      </w:r>
      <w:r w:rsidRPr="0031621B">
        <w:t xml:space="preserve"> 201</w:t>
      </w:r>
      <w:r w:rsidR="00DF2199">
        <w:t>8</w:t>
      </w:r>
      <w:r w:rsidRPr="0031621B">
        <w:t>.</w:t>
      </w:r>
    </w:p>
    <w:p w:rsidR="004A5FC1" w:rsidRPr="0031621B" w:rsidRDefault="004A5FC1" w:rsidP="001F5CBD">
      <w:pPr>
        <w:spacing w:before="120" w:after="120"/>
        <w:ind w:left="-360" w:right="-360"/>
        <w:contextualSpacing/>
      </w:pPr>
    </w:p>
    <w:p w:rsidR="00627F72" w:rsidRPr="0031621B" w:rsidRDefault="004A5FC1" w:rsidP="001F5CBD">
      <w:pPr>
        <w:spacing w:before="120" w:after="120"/>
        <w:ind w:left="-360" w:right="-360"/>
        <w:contextualSpacing/>
      </w:pPr>
      <w:r w:rsidRPr="0031621B">
        <w:t xml:space="preserve">We also calculate inventory </w:t>
      </w:r>
      <w:r w:rsidR="00627F72" w:rsidRPr="0031621B">
        <w:t>by s</w:t>
      </w:r>
      <w:r w:rsidR="00127EF0" w:rsidRPr="0031621B">
        <w:t xml:space="preserve">ubtracting the listings </w:t>
      </w:r>
      <w:r w:rsidR="00627F72" w:rsidRPr="0031621B">
        <w:t>that have an “</w:t>
      </w:r>
      <w:r w:rsidR="00127EF0" w:rsidRPr="0031621B">
        <w:t>active offer</w:t>
      </w:r>
      <w:r w:rsidR="00627F72" w:rsidRPr="0031621B">
        <w:t>”</w:t>
      </w:r>
      <w:r w:rsidR="00D0513E" w:rsidRPr="0031621B">
        <w:t xml:space="preserve"> from those available for sale in a given month.</w:t>
      </w:r>
      <w:r w:rsidR="00127EF0" w:rsidRPr="0031621B">
        <w:t xml:space="preserve"> </w:t>
      </w:r>
      <w:r w:rsidR="00627F72" w:rsidRPr="0031621B">
        <w:t xml:space="preserve"> Approximately 8 in 10 listings that buyers place an offer </w:t>
      </w:r>
      <w:r w:rsidR="00D0513E" w:rsidRPr="0031621B">
        <w:t>o</w:t>
      </w:r>
      <w:r w:rsidR="00627F72" w:rsidRPr="0031621B">
        <w:t>n</w:t>
      </w:r>
      <w:r w:rsidR="00D0513E" w:rsidRPr="0031621B">
        <w:t xml:space="preserve"> </w:t>
      </w:r>
      <w:r w:rsidR="00627F72" w:rsidRPr="0031621B">
        <w:t xml:space="preserve">go on to a complete sale.  </w:t>
      </w:r>
      <w:r w:rsidR="00D0513E" w:rsidRPr="0031621B">
        <w:t>This gives us a different perspective of the quantity of homes available on the market.</w:t>
      </w:r>
    </w:p>
    <w:p w:rsidR="00627F72" w:rsidRPr="0031621B" w:rsidRDefault="00627F72" w:rsidP="001F5CBD">
      <w:pPr>
        <w:spacing w:before="120" w:after="120"/>
        <w:ind w:left="-360" w:right="-360"/>
        <w:contextualSpacing/>
      </w:pPr>
    </w:p>
    <w:p w:rsidR="00627F72" w:rsidRDefault="00D0513E" w:rsidP="001F5CBD">
      <w:pPr>
        <w:spacing w:before="120" w:after="120"/>
        <w:ind w:left="-360" w:right="-360"/>
        <w:contextualSpacing/>
      </w:pPr>
      <w:r w:rsidRPr="0031621B">
        <w:t xml:space="preserve">Subtract </w:t>
      </w:r>
      <w:r w:rsidR="001111CB" w:rsidRPr="0031621B">
        <w:t xml:space="preserve">the </w:t>
      </w:r>
      <w:r w:rsidR="007034D3">
        <w:t>2</w:t>
      </w:r>
      <w:r w:rsidR="001111CB" w:rsidRPr="0031621B">
        <w:t>,</w:t>
      </w:r>
      <w:r w:rsidR="007034D3">
        <w:t>321</w:t>
      </w:r>
      <w:r w:rsidR="00627F72" w:rsidRPr="0031621B">
        <w:t xml:space="preserve"> listings with an active offer from current listings presents an effective inventory level of </w:t>
      </w:r>
      <w:r w:rsidR="000418A7">
        <w:t>1.</w:t>
      </w:r>
      <w:r w:rsidR="007034D3">
        <w:t>6</w:t>
      </w:r>
      <w:r w:rsidR="00627F72" w:rsidRPr="0031621B">
        <w:t xml:space="preserve"> months, </w:t>
      </w:r>
      <w:r w:rsidR="00DF2199">
        <w:t>flat from</w:t>
      </w:r>
      <w:r w:rsidR="007034D3">
        <w:t xml:space="preserve"> February’s 1.6 level</w:t>
      </w:r>
      <w:r w:rsidR="00627F72" w:rsidRPr="0031621B">
        <w:t xml:space="preserve">.  A year ago, the same calculation </w:t>
      </w:r>
      <w:r w:rsidR="007034D3">
        <w:t xml:space="preserve">also </w:t>
      </w:r>
      <w:r w:rsidR="00627F72" w:rsidRPr="0031621B">
        <w:t xml:space="preserve">showed </w:t>
      </w:r>
      <w:r w:rsidR="00521D03">
        <w:t>March</w:t>
      </w:r>
      <w:r w:rsidR="00627F72" w:rsidRPr="0031621B">
        <w:t xml:space="preserve">’s inventory level at </w:t>
      </w:r>
      <w:r w:rsidR="000418A7">
        <w:t>1</w:t>
      </w:r>
      <w:r w:rsidR="00627F72" w:rsidRPr="0031621B">
        <w:t>.</w:t>
      </w:r>
      <w:r w:rsidR="007034D3">
        <w:t>6</w:t>
      </w:r>
      <w:r w:rsidR="00627F72" w:rsidRPr="0031621B">
        <w:t xml:space="preserve"> months</w:t>
      </w:r>
      <w:r w:rsidRPr="0031621B">
        <w:t>.</w:t>
      </w:r>
    </w:p>
    <w:p w:rsidR="001111CB" w:rsidRPr="0031621B" w:rsidRDefault="001111CB" w:rsidP="001F5CBD">
      <w:pPr>
        <w:spacing w:before="120" w:after="120"/>
        <w:ind w:left="-360" w:right="-360"/>
        <w:contextualSpacing/>
      </w:pPr>
    </w:p>
    <w:p w:rsidR="007034D3" w:rsidRPr="00D10468" w:rsidRDefault="00127EF0" w:rsidP="00D10468">
      <w:pPr>
        <w:spacing w:before="120" w:after="120"/>
        <w:ind w:left="-360" w:right="-360"/>
        <w:contextualSpacing/>
      </w:pPr>
      <w:r w:rsidRPr="00D10468">
        <w:rPr>
          <w:b/>
          <w:bCs/>
        </w:rPr>
        <w:t>Average Sale Price</w:t>
      </w:r>
      <w:r w:rsidR="00323325" w:rsidRPr="00D10468">
        <w:rPr>
          <w:b/>
          <w:bCs/>
        </w:rPr>
        <w:t>s</w:t>
      </w:r>
    </w:p>
    <w:tbl>
      <w:tblPr>
        <w:tblpPr w:leftFromText="180" w:rightFromText="180" w:bottomFromText="115" w:vertAnchor="text" w:horzAnchor="margin" w:tblpX="-270" w:tblpY="391"/>
        <w:tblW w:w="6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158"/>
        <w:gridCol w:w="1052"/>
        <w:gridCol w:w="1300"/>
        <w:gridCol w:w="1291"/>
      </w:tblGrid>
      <w:tr w:rsidR="00D10468" w:rsidRPr="00C41C9C" w:rsidTr="00D10468">
        <w:trPr>
          <w:trHeight w:val="360"/>
        </w:trPr>
        <w:tc>
          <w:tcPr>
            <w:tcW w:w="6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68" w:rsidRPr="0031621B" w:rsidRDefault="00D10468" w:rsidP="00D10468">
            <w:pPr>
              <w:spacing w:line="252" w:lineRule="auto"/>
              <w:ind w:left="-108" w:right="8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1st</w:t>
            </w:r>
            <w:r w:rsidRPr="0031621B">
              <w:rPr>
                <w:rFonts w:ascii="Arial Narrow" w:hAnsi="Arial Narrow"/>
                <w:b/>
              </w:rPr>
              <w:t xml:space="preserve"> Quarter Sale Prices</w:t>
            </w: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:rsidR="00D10468" w:rsidRPr="00754FD0" w:rsidRDefault="00D10468" w:rsidP="00D10468">
            <w:pPr>
              <w:ind w:left="175" w:right="100"/>
              <w:rPr>
                <w:b/>
                <w:color w:val="FFFFFF" w:themeColor="background1"/>
              </w:rPr>
            </w:pPr>
            <w:r w:rsidRPr="00754FD0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1158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468" w:rsidRPr="0031621B" w:rsidRDefault="00D10468" w:rsidP="00D10468">
            <w:pPr>
              <w:spacing w:line="207" w:lineRule="atLeast"/>
              <w:ind w:left="44" w:right="62"/>
              <w:jc w:val="center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8</w:t>
            </w:r>
          </w:p>
        </w:tc>
        <w:tc>
          <w:tcPr>
            <w:tcW w:w="105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468" w:rsidRPr="0031621B" w:rsidRDefault="00D10468" w:rsidP="00D10468">
            <w:pPr>
              <w:spacing w:line="207" w:lineRule="atLeast"/>
              <w:ind w:right="-23"/>
              <w:jc w:val="center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D10468" w:rsidRPr="0031621B" w:rsidRDefault="00D10468" w:rsidP="00D10468">
            <w:pPr>
              <w:ind w:left="89" w:right="65"/>
              <w:jc w:val="center"/>
              <w:rPr>
                <w:color w:val="FFFFFF" w:themeColor="background1"/>
              </w:rPr>
            </w:pPr>
            <w:r w:rsidRPr="0031621B">
              <w:rPr>
                <w:color w:val="FFFFFF" w:themeColor="background1"/>
              </w:rPr>
              <w:t>$ Change</w:t>
            </w:r>
          </w:p>
        </w:tc>
        <w:tc>
          <w:tcPr>
            <w:tcW w:w="1291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</w:tcPr>
          <w:p w:rsidR="00D10468" w:rsidRPr="00754FD0" w:rsidRDefault="00D10468" w:rsidP="00D10468">
            <w:pPr>
              <w:ind w:left="89" w:right="90"/>
              <w:jc w:val="center"/>
              <w:rPr>
                <w:color w:val="FFFFFF" w:themeColor="background1"/>
              </w:rPr>
            </w:pPr>
            <w:r w:rsidRPr="00754FD0">
              <w:rPr>
                <w:color w:val="FFFFFF" w:themeColor="background1"/>
              </w:rPr>
              <w:t>% Change</w:t>
            </w: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468" w:rsidRPr="00C41C9C" w:rsidRDefault="00D10468" w:rsidP="00D10468">
            <w:pPr>
              <w:spacing w:line="252" w:lineRule="auto"/>
              <w:ind w:left="62" w:right="100"/>
            </w:pPr>
            <w:r w:rsidRPr="00C41C9C">
              <w:t>Milwaukee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0468" w:rsidRPr="0031621B" w:rsidRDefault="00D10468" w:rsidP="00D10468">
            <w:pPr>
              <w:spacing w:line="252" w:lineRule="auto"/>
              <w:ind w:left="44" w:right="62"/>
            </w:pPr>
            <w:r w:rsidRPr="0031621B">
              <w:t>$</w:t>
            </w:r>
            <w:r>
              <w:t>170,836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0468" w:rsidRPr="0031621B" w:rsidRDefault="00D10468" w:rsidP="00D10468">
            <w:pPr>
              <w:spacing w:line="252" w:lineRule="auto"/>
              <w:ind w:right="-23"/>
            </w:pPr>
            <w:r w:rsidRPr="0031621B">
              <w:t>$</w:t>
            </w:r>
            <w:r>
              <w:t>176,552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68" w:rsidRPr="0031621B" w:rsidRDefault="00D10468" w:rsidP="00D10468">
            <w:pPr>
              <w:spacing w:line="252" w:lineRule="auto"/>
              <w:ind w:left="89" w:right="232"/>
              <w:jc w:val="right"/>
            </w:pPr>
            <w:r w:rsidRPr="0031621B">
              <w:t>$</w:t>
            </w:r>
            <w:r>
              <w:t>5,716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468" w:rsidRPr="00C41C9C" w:rsidRDefault="00D10468" w:rsidP="00D10468">
            <w:pPr>
              <w:spacing w:line="252" w:lineRule="auto"/>
              <w:ind w:right="445"/>
              <w:jc w:val="right"/>
            </w:pPr>
            <w:r>
              <w:t>3.3</w:t>
            </w:r>
            <w:r w:rsidRPr="00C41C9C">
              <w:t>%</w:t>
            </w: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468" w:rsidRPr="00C41C9C" w:rsidRDefault="00D10468" w:rsidP="00D10468">
            <w:pPr>
              <w:spacing w:line="252" w:lineRule="auto"/>
              <w:ind w:left="62" w:right="100"/>
            </w:pPr>
            <w:r w:rsidRPr="00C41C9C">
              <w:t>Waukesha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D10468">
            <w:pPr>
              <w:spacing w:line="252" w:lineRule="auto"/>
              <w:ind w:left="44" w:right="62"/>
            </w:pPr>
            <w:r w:rsidRPr="0031621B">
              <w:t>$</w:t>
            </w:r>
            <w:r>
              <w:t>306,179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D10468">
            <w:pPr>
              <w:spacing w:line="252" w:lineRule="auto"/>
              <w:ind w:right="-23"/>
            </w:pPr>
            <w:r w:rsidRPr="0031621B">
              <w:t>$</w:t>
            </w:r>
            <w:r>
              <w:t>328,252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Pr="0031621B" w:rsidRDefault="00D10468" w:rsidP="00D10468">
            <w:pPr>
              <w:spacing w:line="252" w:lineRule="auto"/>
              <w:ind w:left="89" w:right="232"/>
              <w:jc w:val="right"/>
            </w:pPr>
            <w:r w:rsidRPr="0031621B">
              <w:t>$</w:t>
            </w:r>
            <w:r>
              <w:t>22,073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Pr="00C41C9C" w:rsidRDefault="00D10468" w:rsidP="00D10468">
            <w:pPr>
              <w:spacing w:line="252" w:lineRule="auto"/>
              <w:ind w:right="445"/>
              <w:jc w:val="right"/>
            </w:pPr>
            <w:r>
              <w:t>7.2</w:t>
            </w:r>
            <w:r w:rsidRPr="00C41C9C">
              <w:t>%</w:t>
            </w: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468" w:rsidRPr="00C41C9C" w:rsidRDefault="00D10468" w:rsidP="00D10468">
            <w:pPr>
              <w:spacing w:line="252" w:lineRule="auto"/>
              <w:ind w:left="62" w:right="100"/>
            </w:pPr>
            <w:r w:rsidRPr="00C41C9C">
              <w:t>Washington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D10468">
            <w:pPr>
              <w:spacing w:line="252" w:lineRule="auto"/>
              <w:ind w:left="44" w:right="62"/>
            </w:pPr>
            <w:r w:rsidRPr="0031621B">
              <w:t>$</w:t>
            </w:r>
            <w:r>
              <w:t>261,067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D10468">
            <w:pPr>
              <w:spacing w:line="252" w:lineRule="auto"/>
              <w:ind w:right="-23"/>
            </w:pPr>
            <w:r w:rsidRPr="0031621B">
              <w:t>$</w:t>
            </w:r>
            <w:r>
              <w:t>247,722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68" w:rsidRPr="0031621B" w:rsidRDefault="00D10468" w:rsidP="00D10468">
            <w:pPr>
              <w:spacing w:line="252" w:lineRule="auto"/>
              <w:ind w:left="89" w:right="232"/>
              <w:jc w:val="right"/>
            </w:pPr>
            <w:r>
              <w:t>-</w:t>
            </w:r>
            <w:r w:rsidRPr="0031621B">
              <w:t>$</w:t>
            </w:r>
            <w:r>
              <w:t>13,345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468" w:rsidRPr="00C41C9C" w:rsidRDefault="00D10468" w:rsidP="00D10468">
            <w:pPr>
              <w:spacing w:line="252" w:lineRule="auto"/>
              <w:ind w:right="445"/>
              <w:jc w:val="right"/>
            </w:pPr>
            <w:r>
              <w:t>-5.1%</w:t>
            </w: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468" w:rsidRPr="006D22A4" w:rsidRDefault="00D10468" w:rsidP="00D10468">
            <w:pPr>
              <w:spacing w:line="252" w:lineRule="auto"/>
              <w:ind w:left="62" w:right="100"/>
            </w:pPr>
            <w:r w:rsidRPr="006D22A4">
              <w:t>Ozaukee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D10468">
            <w:pPr>
              <w:spacing w:line="252" w:lineRule="auto"/>
              <w:ind w:left="44" w:right="62"/>
            </w:pPr>
            <w:r w:rsidRPr="0031621B">
              <w:t>$</w:t>
            </w:r>
            <w:r>
              <w:t>342,235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D10468">
            <w:pPr>
              <w:spacing w:line="252" w:lineRule="auto"/>
              <w:ind w:right="-23"/>
            </w:pPr>
            <w:r w:rsidRPr="0031621B">
              <w:t>$</w:t>
            </w:r>
            <w:r>
              <w:t>332,110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10468" w:rsidRPr="0031621B" w:rsidRDefault="00D10468" w:rsidP="00D10468">
            <w:pPr>
              <w:spacing w:line="252" w:lineRule="auto"/>
              <w:ind w:left="89" w:right="232"/>
              <w:jc w:val="right"/>
            </w:pPr>
            <w:r>
              <w:t>-</w:t>
            </w:r>
            <w:r w:rsidRPr="0031621B">
              <w:t>$</w:t>
            </w:r>
            <w:r>
              <w:t>10,125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10468" w:rsidRPr="006D22A4" w:rsidRDefault="00D10468" w:rsidP="00D10468">
            <w:pPr>
              <w:spacing w:line="252" w:lineRule="auto"/>
              <w:ind w:right="445"/>
              <w:jc w:val="right"/>
            </w:pPr>
            <w:r>
              <w:t>-3.0</w:t>
            </w:r>
            <w:r w:rsidRPr="006D22A4">
              <w:t>%</w:t>
            </w: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468" w:rsidRPr="00C41C9C" w:rsidRDefault="00D10468" w:rsidP="00D10468">
            <w:pPr>
              <w:spacing w:line="252" w:lineRule="auto"/>
              <w:ind w:left="62" w:right="100"/>
            </w:pPr>
            <w:r w:rsidRPr="00C41C9C">
              <w:t>4 County Area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D10468">
            <w:pPr>
              <w:spacing w:line="252" w:lineRule="auto"/>
              <w:ind w:left="44" w:right="62"/>
            </w:pPr>
            <w:r w:rsidRPr="0031621B">
              <w:t>$</w:t>
            </w:r>
            <w:r>
              <w:t>270,079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31621B" w:rsidRDefault="00D10468" w:rsidP="00D10468">
            <w:pPr>
              <w:spacing w:line="252" w:lineRule="auto"/>
              <w:ind w:right="-23"/>
            </w:pPr>
            <w:r w:rsidRPr="0031621B">
              <w:t>$</w:t>
            </w:r>
            <w:r>
              <w:t>271,159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68" w:rsidRPr="0031621B" w:rsidRDefault="00D10468" w:rsidP="00D10468">
            <w:pPr>
              <w:spacing w:line="252" w:lineRule="auto"/>
              <w:ind w:left="89" w:right="232"/>
              <w:jc w:val="right"/>
            </w:pPr>
            <w:r w:rsidRPr="0031621B">
              <w:t>$</w:t>
            </w:r>
            <w:r>
              <w:t>1,080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0468" w:rsidRPr="00C41C9C" w:rsidRDefault="00D10468" w:rsidP="00D10468">
            <w:pPr>
              <w:spacing w:line="252" w:lineRule="auto"/>
              <w:ind w:right="445"/>
              <w:jc w:val="right"/>
            </w:pPr>
            <w:r>
              <w:t>0.4</w:t>
            </w:r>
            <w:r w:rsidRPr="00C41C9C">
              <w:t>%</w:t>
            </w:r>
          </w:p>
        </w:tc>
      </w:tr>
      <w:tr w:rsidR="00D10468" w:rsidRPr="00C41C9C" w:rsidTr="00D10468">
        <w:trPr>
          <w:trHeight w:val="179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156337" w:rsidRDefault="00D10468" w:rsidP="00D10468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156337" w:rsidRDefault="00D10468" w:rsidP="00D10468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156337" w:rsidRDefault="00D10468" w:rsidP="00D10468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Pr="00156337" w:rsidRDefault="00D10468" w:rsidP="00D10468">
            <w:pPr>
              <w:spacing w:line="252" w:lineRule="auto"/>
              <w:ind w:left="89" w:right="232"/>
              <w:jc w:val="right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Pr="00156337" w:rsidRDefault="00D10468" w:rsidP="00D10468">
            <w:pPr>
              <w:spacing w:line="252" w:lineRule="auto"/>
              <w:ind w:right="445"/>
              <w:jc w:val="right"/>
              <w:rPr>
                <w:sz w:val="10"/>
                <w:szCs w:val="10"/>
              </w:rPr>
            </w:pP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Pr="00C41C9C" w:rsidRDefault="00D10468" w:rsidP="00D10468">
            <w:pPr>
              <w:spacing w:line="252" w:lineRule="auto"/>
              <w:ind w:left="62" w:right="100"/>
            </w:pPr>
            <w:r>
              <w:t>Racine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left="44" w:right="62"/>
            </w:pPr>
            <w:r>
              <w:t>$181,702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right="-23"/>
            </w:pPr>
            <w:r>
              <w:t>$195,602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68" w:rsidRDefault="00D10468" w:rsidP="00D10468">
            <w:pPr>
              <w:spacing w:line="252" w:lineRule="auto"/>
              <w:ind w:left="89" w:right="232"/>
              <w:jc w:val="right"/>
            </w:pPr>
            <w:r>
              <w:t>$13,900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468" w:rsidRDefault="00D10468" w:rsidP="00D10468">
            <w:pPr>
              <w:spacing w:line="252" w:lineRule="auto"/>
              <w:ind w:right="445"/>
              <w:jc w:val="right"/>
            </w:pPr>
            <w:r>
              <w:t>7.6%</w:t>
            </w: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left="62" w:right="100"/>
            </w:pPr>
            <w:r>
              <w:t>Kenosha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left="44" w:right="62"/>
            </w:pPr>
            <w:r>
              <w:t>$193,037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right="-23"/>
            </w:pPr>
            <w:r>
              <w:t>$206,545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Default="00D10468" w:rsidP="00D10468">
            <w:pPr>
              <w:spacing w:line="252" w:lineRule="auto"/>
              <w:ind w:left="89" w:right="232"/>
              <w:jc w:val="right"/>
            </w:pPr>
            <w:r>
              <w:t>$13,508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Default="00D10468" w:rsidP="00D10468">
            <w:pPr>
              <w:spacing w:line="252" w:lineRule="auto"/>
              <w:ind w:right="445"/>
              <w:jc w:val="right"/>
            </w:pPr>
            <w:r>
              <w:t>7.0%</w:t>
            </w: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left="62" w:right="100"/>
            </w:pPr>
            <w:r>
              <w:t>Walworth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left="44" w:right="62"/>
            </w:pPr>
            <w:r>
              <w:t>$344,258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right="-23"/>
            </w:pPr>
            <w:r>
              <w:t>$254,504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0468" w:rsidRDefault="00D10468" w:rsidP="00D10468">
            <w:pPr>
              <w:spacing w:line="252" w:lineRule="auto"/>
              <w:ind w:left="89" w:right="232"/>
              <w:jc w:val="right"/>
            </w:pPr>
            <w:r>
              <w:t>-$89,754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0468" w:rsidRDefault="00D10468" w:rsidP="00D10468">
            <w:pPr>
              <w:spacing w:line="252" w:lineRule="auto"/>
              <w:ind w:right="445"/>
              <w:jc w:val="right"/>
            </w:pPr>
            <w:r>
              <w:t>-26.1%</w:t>
            </w:r>
          </w:p>
        </w:tc>
      </w:tr>
      <w:tr w:rsidR="00D10468" w:rsidRPr="00C41C9C" w:rsidTr="00D10468">
        <w:trPr>
          <w:trHeight w:val="288"/>
        </w:trPr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left="62" w:right="100"/>
            </w:pPr>
            <w:r>
              <w:t>7 County Area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left="44" w:right="62"/>
            </w:pPr>
            <w:r>
              <w:t>$257,045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68" w:rsidRDefault="00D10468" w:rsidP="00D10468">
            <w:pPr>
              <w:spacing w:line="252" w:lineRule="auto"/>
              <w:ind w:right="-23"/>
            </w:pPr>
            <w:r>
              <w:t>$248,755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Default="00D10468" w:rsidP="00D10468">
            <w:pPr>
              <w:spacing w:line="252" w:lineRule="auto"/>
              <w:ind w:left="89" w:right="232"/>
              <w:jc w:val="right"/>
            </w:pPr>
            <w:r>
              <w:t>$8,290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10468" w:rsidRDefault="00D10468" w:rsidP="00D10468">
            <w:pPr>
              <w:spacing w:line="252" w:lineRule="auto"/>
              <w:ind w:right="445"/>
              <w:jc w:val="right"/>
            </w:pPr>
            <w:r>
              <w:t>-3.2%</w:t>
            </w:r>
          </w:p>
        </w:tc>
      </w:tr>
    </w:tbl>
    <w:p w:rsidR="007034D3" w:rsidRDefault="00127EF0" w:rsidP="00D10468">
      <w:pPr>
        <w:spacing w:before="120" w:after="120"/>
        <w:ind w:left="-360" w:right="-360"/>
        <w:contextualSpacing/>
      </w:pPr>
      <w:r w:rsidRPr="0031621B">
        <w:t xml:space="preserve">The average sale price in </w:t>
      </w:r>
      <w:r w:rsidR="007034D3">
        <w:t xml:space="preserve">the Metropolitan </w:t>
      </w:r>
      <w:r w:rsidRPr="0031621B">
        <w:t xml:space="preserve">counties </w:t>
      </w:r>
      <w:r w:rsidR="007034D3">
        <w:t xml:space="preserve">was up slightly, 0.4%, </w:t>
      </w:r>
      <w:r w:rsidR="00857CA5" w:rsidRPr="0031621B">
        <w:t xml:space="preserve">in </w:t>
      </w:r>
      <w:r w:rsidR="007034D3">
        <w:t>the 1</w:t>
      </w:r>
      <w:r w:rsidR="007034D3" w:rsidRPr="007034D3">
        <w:rPr>
          <w:vertAlign w:val="superscript"/>
        </w:rPr>
        <w:t>st</w:t>
      </w:r>
      <w:r w:rsidR="007034D3">
        <w:t xml:space="preserve"> quarter. </w:t>
      </w:r>
      <w:r w:rsidR="00857CA5" w:rsidRPr="0031621B">
        <w:t xml:space="preserve">SE Wisconsin </w:t>
      </w:r>
      <w:r w:rsidRPr="0031621B">
        <w:t xml:space="preserve">was </w:t>
      </w:r>
      <w:r w:rsidR="007034D3">
        <w:t xml:space="preserve">down 3.2% due to a </w:t>
      </w:r>
      <w:r w:rsidR="00D10468">
        <w:t xml:space="preserve">large drop in Walworth County. </w:t>
      </w:r>
    </w:p>
    <w:p w:rsidR="00D10468" w:rsidRDefault="00D10468" w:rsidP="00D10468">
      <w:pPr>
        <w:spacing w:before="120" w:after="120"/>
        <w:ind w:left="-360" w:right="-360"/>
        <w:contextualSpacing/>
      </w:pPr>
    </w:p>
    <w:p w:rsidR="00EB2CA3" w:rsidRDefault="007034D3" w:rsidP="001F5CBD">
      <w:pPr>
        <w:spacing w:before="120" w:after="120"/>
        <w:ind w:left="-360" w:right="-360"/>
        <w:contextualSpacing/>
        <w:rPr>
          <w:sz w:val="24"/>
          <w:szCs w:val="24"/>
        </w:rPr>
      </w:pPr>
      <w:r>
        <w:t>Price increases in Milwaukee</w:t>
      </w:r>
      <w:r w:rsidR="00426684">
        <w:t xml:space="preserve">, Waukesha, Racine and Kenosha </w:t>
      </w:r>
      <w:r>
        <w:t xml:space="preserve">Counties </w:t>
      </w:r>
      <w:r w:rsidR="00D10468">
        <w:t>are</w:t>
      </w:r>
      <w:r>
        <w:t xml:space="preserve"> welcome news in spite of decrease</w:t>
      </w:r>
      <w:r w:rsidR="00426684">
        <w:t>d</w:t>
      </w:r>
      <w:r>
        <w:t xml:space="preserve"> sales</w:t>
      </w:r>
      <w:r w:rsidR="00426684">
        <w:t xml:space="preserve"> in most counties</w:t>
      </w:r>
      <w:r>
        <w:t xml:space="preserve">. </w:t>
      </w:r>
    </w:p>
    <w:p w:rsidR="00EB2CA3" w:rsidRDefault="00EB2CA3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D10468" w:rsidRDefault="00D10468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EB2CA3" w:rsidRDefault="00EB2CA3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EB2CA3" w:rsidRDefault="00EB2CA3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127EF0" w:rsidRPr="0031621B" w:rsidRDefault="00127EF0" w:rsidP="001F5CBD">
      <w:pPr>
        <w:spacing w:before="120" w:after="120"/>
        <w:ind w:left="-360" w:right="-360"/>
        <w:contextualSpacing/>
        <w:jc w:val="both"/>
        <w:rPr>
          <w:b/>
          <w:bCs/>
          <w:u w:val="single"/>
        </w:rPr>
      </w:pPr>
      <w:r w:rsidRPr="0031621B">
        <w:rPr>
          <w:b/>
          <w:bCs/>
          <w:u w:val="single"/>
        </w:rPr>
        <w:lastRenderedPageBreak/>
        <w:t>Where to go</w:t>
      </w:r>
    </w:p>
    <w:p w:rsidR="00127EF0" w:rsidRPr="0031621B" w:rsidRDefault="00127EF0" w:rsidP="001F5CBD">
      <w:pPr>
        <w:spacing w:before="120" w:after="120"/>
        <w:ind w:left="-360" w:right="-360"/>
        <w:contextualSpacing/>
      </w:pPr>
      <w:r w:rsidRPr="0031621B">
        <w:t>Buyers should seek the counsel of a REALTOR® in determining their best housing options, and sellers need a REALTORS® expert advice in making correct marketing decisions with their home</w:t>
      </w:r>
      <w:r w:rsidR="001B4CFE" w:rsidRPr="0031621B">
        <w:t>s</w:t>
      </w:r>
      <w:r w:rsidRPr="0031621B">
        <w:t>.</w:t>
      </w:r>
    </w:p>
    <w:p w:rsidR="00127EF0" w:rsidRPr="0031621B" w:rsidRDefault="00127EF0" w:rsidP="001F5CBD">
      <w:pPr>
        <w:spacing w:before="120" w:after="120"/>
        <w:ind w:left="-360" w:right="-360"/>
        <w:contextualSpacing/>
      </w:pPr>
    </w:p>
    <w:p w:rsidR="00127EF0" w:rsidRPr="0031621B" w:rsidRDefault="00127EF0" w:rsidP="001F5CBD">
      <w:pPr>
        <w:spacing w:before="120" w:after="120"/>
        <w:ind w:left="-360" w:right="-360"/>
        <w:contextualSpacing/>
      </w:pPr>
      <w:r w:rsidRPr="0031621B">
        <w:t>The Greater Milwaukee Association of REALTORS</w:t>
      </w:r>
      <w:r w:rsidRPr="0031621B">
        <w:rPr>
          <w:vertAlign w:val="superscript"/>
        </w:rPr>
        <w:t>®</w:t>
      </w:r>
      <w:r w:rsidRPr="0031621B">
        <w:t xml:space="preserve"> is a 4,000-member strong professional organization dedicated to providing information, services and products to “help REALTORS</w:t>
      </w:r>
      <w:r w:rsidRPr="0031621B">
        <w:rPr>
          <w:vertAlign w:val="superscript"/>
        </w:rPr>
        <w:t>®</w:t>
      </w:r>
      <w:r w:rsidRPr="0031621B">
        <w:t xml:space="preserve"> help their clients” buy and sell real estate.  Data for this report was collected by Metro MLS, Inc. a wholly-owned subsidiary of the GMAR.</w:t>
      </w:r>
    </w:p>
    <w:p w:rsidR="00127EF0" w:rsidRDefault="00127EF0" w:rsidP="001F5CBD">
      <w:pPr>
        <w:spacing w:before="120" w:after="120"/>
        <w:ind w:left="-360" w:right="-360"/>
        <w:contextualSpacing/>
      </w:pPr>
    </w:p>
    <w:p w:rsidR="00AE6343" w:rsidRPr="0031621B" w:rsidRDefault="00AE6343" w:rsidP="001F5CBD">
      <w:pPr>
        <w:spacing w:before="120" w:after="120"/>
        <w:ind w:left="-360" w:right="-360"/>
        <w:contextualSpacing/>
      </w:pPr>
    </w:p>
    <w:p w:rsidR="00127EF0" w:rsidRDefault="00127EF0" w:rsidP="001F5CBD">
      <w:pPr>
        <w:spacing w:before="120" w:after="120"/>
        <w:ind w:left="-360" w:right="-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* Sales and Listing figures differ b</w:t>
      </w:r>
      <w:r w:rsidR="00DC6504">
        <w:rPr>
          <w:sz w:val="20"/>
          <w:szCs w:val="20"/>
        </w:rPr>
        <w:t>etween the “Monthly Stats” and quarter</w:t>
      </w:r>
      <w:r>
        <w:rPr>
          <w:sz w:val="20"/>
          <w:szCs w:val="20"/>
        </w:rPr>
        <w:t xml:space="preserve"> (or year-end) </w:t>
      </w:r>
      <w:r w:rsidR="00DC6504">
        <w:rPr>
          <w:sz w:val="20"/>
          <w:szCs w:val="20"/>
        </w:rPr>
        <w:t xml:space="preserve">numbers, </w:t>
      </w:r>
      <w:r>
        <w:rPr>
          <w:sz w:val="20"/>
          <w:szCs w:val="20"/>
        </w:rPr>
        <w:t>because the collection of Monthly Stats ends on the 10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each month; whereas </w:t>
      </w:r>
      <w:r w:rsidR="00DC6504">
        <w:rPr>
          <w:sz w:val="20"/>
          <w:szCs w:val="20"/>
        </w:rPr>
        <w:t>quarters are</w:t>
      </w:r>
      <w:r>
        <w:rPr>
          <w:sz w:val="20"/>
          <w:szCs w:val="20"/>
        </w:rPr>
        <w:t xml:space="preserve"> a continuous tally to 12/31.  For example, if a sale occurred on July 29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, but </w:t>
      </w:r>
      <w:r w:rsidR="00DC6504">
        <w:rPr>
          <w:sz w:val="20"/>
          <w:szCs w:val="20"/>
        </w:rPr>
        <w:t xml:space="preserve">an </w:t>
      </w:r>
      <w:r>
        <w:rPr>
          <w:sz w:val="20"/>
          <w:szCs w:val="20"/>
        </w:rPr>
        <w:t>agent does not record the sale until August 11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, that sale would not be included in the July sales figures (or any subsequent month’s total) but would be added to the </w:t>
      </w:r>
      <w:r w:rsidR="00DC6504">
        <w:rPr>
          <w:sz w:val="20"/>
          <w:szCs w:val="20"/>
        </w:rPr>
        <w:t xml:space="preserve">quarterly and </w:t>
      </w:r>
      <w:r>
        <w:rPr>
          <w:sz w:val="20"/>
          <w:szCs w:val="20"/>
        </w:rPr>
        <w:t>annual total sales figure</w:t>
      </w:r>
      <w:r w:rsidR="00DC650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127EF0" w:rsidRDefault="00127EF0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:rsidR="00127EF0" w:rsidRDefault="00127EF0" w:rsidP="001F5CBD">
      <w:pPr>
        <w:spacing w:before="120" w:after="120"/>
        <w:ind w:left="-360" w:right="-360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*     *     *     *     *</w:t>
      </w:r>
    </w:p>
    <w:p w:rsidR="00127EF0" w:rsidRDefault="00127EF0" w:rsidP="001F5CBD">
      <w:pPr>
        <w:ind w:left="-360" w:right="-360"/>
      </w:pPr>
    </w:p>
    <w:p w:rsidR="00127EF0" w:rsidRDefault="00127EF0" w:rsidP="001F5CBD">
      <w:pPr>
        <w:ind w:left="-360" w:right="-360"/>
      </w:pPr>
    </w:p>
    <w:p w:rsidR="00127EF0" w:rsidRDefault="00127EF0" w:rsidP="001F5CBD">
      <w:pPr>
        <w:ind w:left="-360" w:right="-360"/>
        <w:rPr>
          <w:sz w:val="20"/>
          <w:szCs w:val="20"/>
        </w:rPr>
      </w:pPr>
      <w:r>
        <w:rPr>
          <w:sz w:val="20"/>
          <w:szCs w:val="20"/>
        </w:rPr>
        <w:t>Mike Ruzicka, CAE, RCE</w:t>
      </w:r>
    </w:p>
    <w:p w:rsidR="00127EF0" w:rsidRDefault="00127EF0" w:rsidP="001F5CBD">
      <w:pPr>
        <w:ind w:left="-360" w:right="-360"/>
        <w:rPr>
          <w:sz w:val="20"/>
          <w:szCs w:val="20"/>
        </w:rPr>
      </w:pPr>
      <w:r>
        <w:rPr>
          <w:sz w:val="20"/>
          <w:szCs w:val="20"/>
        </w:rPr>
        <w:t>President</w:t>
      </w:r>
    </w:p>
    <w:p w:rsidR="00127EF0" w:rsidRDefault="00830251" w:rsidP="001F5CBD">
      <w:pPr>
        <w:ind w:left="-360" w:right="-360"/>
        <w:rPr>
          <w:color w:val="3366FF"/>
          <w:u w:val="single"/>
        </w:rPr>
      </w:pPr>
      <w:hyperlink r:id="rId9" w:history="1">
        <w:r w:rsidR="00127EF0">
          <w:rPr>
            <w:rStyle w:val="Hyperlink"/>
            <w:color w:val="3366FF"/>
            <w:sz w:val="20"/>
            <w:szCs w:val="20"/>
          </w:rPr>
          <w:t>Greater Milwaukee Association of REALTORS®</w:t>
        </w:r>
      </w:hyperlink>
    </w:p>
    <w:p w:rsidR="00127EF0" w:rsidRDefault="00127EF0" w:rsidP="001F5CBD">
      <w:pPr>
        <w:ind w:left="-360" w:right="-360"/>
      </w:pPr>
      <w:r>
        <w:rPr>
          <w:sz w:val="20"/>
          <w:szCs w:val="20"/>
        </w:rPr>
        <w:t>12300 W. Center Street</w:t>
      </w:r>
    </w:p>
    <w:p w:rsidR="00127EF0" w:rsidRDefault="00127EF0" w:rsidP="001F5CBD">
      <w:pPr>
        <w:ind w:left="-360" w:right="-360"/>
        <w:rPr>
          <w:sz w:val="20"/>
          <w:szCs w:val="20"/>
        </w:rPr>
      </w:pPr>
      <w:r>
        <w:rPr>
          <w:sz w:val="20"/>
          <w:szCs w:val="20"/>
        </w:rPr>
        <w:t>Milwaukee, WI 53222</w:t>
      </w:r>
    </w:p>
    <w:p w:rsidR="00127EF0" w:rsidRDefault="00127EF0" w:rsidP="001F5CBD">
      <w:pPr>
        <w:ind w:left="-360" w:right="-360"/>
        <w:rPr>
          <w:sz w:val="20"/>
          <w:szCs w:val="20"/>
        </w:rPr>
      </w:pPr>
      <w:r>
        <w:rPr>
          <w:sz w:val="20"/>
          <w:szCs w:val="20"/>
        </w:rPr>
        <w:t>414.778.4929</w:t>
      </w:r>
    </w:p>
    <w:p w:rsidR="00127EF0" w:rsidRDefault="00830251" w:rsidP="001F5CBD">
      <w:pPr>
        <w:ind w:left="-360" w:right="-360"/>
        <w:rPr>
          <w:color w:val="3366FF"/>
        </w:rPr>
      </w:pPr>
      <w:hyperlink r:id="rId10" w:history="1">
        <w:r w:rsidR="00127EF0">
          <w:rPr>
            <w:rStyle w:val="Hyperlink"/>
            <w:color w:val="3366FF"/>
            <w:sz w:val="20"/>
            <w:szCs w:val="20"/>
          </w:rPr>
          <w:t>mike@gmar.ws</w:t>
        </w:r>
      </w:hyperlink>
    </w:p>
    <w:p w:rsidR="00127EF0" w:rsidRDefault="00127EF0" w:rsidP="001F5CBD">
      <w:pPr>
        <w:ind w:left="-360" w:right="-360"/>
        <w:rPr>
          <w:sz w:val="20"/>
          <w:szCs w:val="20"/>
        </w:rPr>
      </w:pPr>
    </w:p>
    <w:p w:rsidR="00127EF0" w:rsidRDefault="00127EF0" w:rsidP="001F5CBD">
      <w:pPr>
        <w:ind w:left="-360" w:right="-360"/>
        <w:rPr>
          <w:sz w:val="12"/>
          <w:szCs w:val="12"/>
        </w:rPr>
      </w:pPr>
      <w:r>
        <w:rPr>
          <w:sz w:val="12"/>
          <w:szCs w:val="12"/>
        </w:rPr>
        <w:t>This e-mail message is intended solely for the person to whom it is addressed and may contain confidential and/or privileged information.  If you have received this e-mail message in error, but are affiliated with the person two whom it is addressed, please notify the addressee that the e-mail has been received (otherwise delete it).  Any review, dissemination, copying, printing or other use of this e-mail message by persons other than the address is prohibited.</w:t>
      </w:r>
    </w:p>
    <w:bookmarkEnd w:id="0"/>
    <w:p w:rsidR="00323325" w:rsidRDefault="00323325" w:rsidP="00127EF0">
      <w:pPr>
        <w:rPr>
          <w:sz w:val="12"/>
          <w:szCs w:val="12"/>
        </w:rPr>
      </w:pPr>
    </w:p>
    <w:sectPr w:rsidR="00323325" w:rsidSect="00853C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83"/>
    <w:rsid w:val="0000535B"/>
    <w:rsid w:val="0002233A"/>
    <w:rsid w:val="000231FD"/>
    <w:rsid w:val="00027002"/>
    <w:rsid w:val="00027936"/>
    <w:rsid w:val="000418A7"/>
    <w:rsid w:val="00050EC7"/>
    <w:rsid w:val="000643AB"/>
    <w:rsid w:val="0008180B"/>
    <w:rsid w:val="00081B02"/>
    <w:rsid w:val="00085C75"/>
    <w:rsid w:val="000871EE"/>
    <w:rsid w:val="00087232"/>
    <w:rsid w:val="000970E3"/>
    <w:rsid w:val="000A3217"/>
    <w:rsid w:val="000C5D86"/>
    <w:rsid w:val="000F21F9"/>
    <w:rsid w:val="001111CB"/>
    <w:rsid w:val="00127EF0"/>
    <w:rsid w:val="001312C0"/>
    <w:rsid w:val="00134C6A"/>
    <w:rsid w:val="00156337"/>
    <w:rsid w:val="001710C0"/>
    <w:rsid w:val="00181579"/>
    <w:rsid w:val="00183378"/>
    <w:rsid w:val="001865ED"/>
    <w:rsid w:val="001A060A"/>
    <w:rsid w:val="001B4CFE"/>
    <w:rsid w:val="001B610A"/>
    <w:rsid w:val="001C2406"/>
    <w:rsid w:val="001C62A3"/>
    <w:rsid w:val="001D7B23"/>
    <w:rsid w:val="001F0911"/>
    <w:rsid w:val="001F245E"/>
    <w:rsid w:val="001F5CBD"/>
    <w:rsid w:val="00211BC4"/>
    <w:rsid w:val="002228CD"/>
    <w:rsid w:val="0023346D"/>
    <w:rsid w:val="002369FD"/>
    <w:rsid w:val="00270176"/>
    <w:rsid w:val="002A78ED"/>
    <w:rsid w:val="002B4F66"/>
    <w:rsid w:val="002F47F1"/>
    <w:rsid w:val="003014F6"/>
    <w:rsid w:val="003105DB"/>
    <w:rsid w:val="00310D67"/>
    <w:rsid w:val="0031621B"/>
    <w:rsid w:val="003176C9"/>
    <w:rsid w:val="00323325"/>
    <w:rsid w:val="0033059A"/>
    <w:rsid w:val="00354473"/>
    <w:rsid w:val="003639E9"/>
    <w:rsid w:val="003724B8"/>
    <w:rsid w:val="003932C3"/>
    <w:rsid w:val="003B1886"/>
    <w:rsid w:val="0040188A"/>
    <w:rsid w:val="004217B7"/>
    <w:rsid w:val="00426684"/>
    <w:rsid w:val="00437958"/>
    <w:rsid w:val="00437E34"/>
    <w:rsid w:val="004433DB"/>
    <w:rsid w:val="00460083"/>
    <w:rsid w:val="00470AB1"/>
    <w:rsid w:val="00470EA4"/>
    <w:rsid w:val="0047433E"/>
    <w:rsid w:val="00476AA0"/>
    <w:rsid w:val="0048406D"/>
    <w:rsid w:val="004A5FC1"/>
    <w:rsid w:val="004E6E55"/>
    <w:rsid w:val="00503E46"/>
    <w:rsid w:val="00510938"/>
    <w:rsid w:val="005160A6"/>
    <w:rsid w:val="005170D2"/>
    <w:rsid w:val="0052049F"/>
    <w:rsid w:val="00521D03"/>
    <w:rsid w:val="0053080F"/>
    <w:rsid w:val="00534DD3"/>
    <w:rsid w:val="0054105F"/>
    <w:rsid w:val="005460CE"/>
    <w:rsid w:val="005479CC"/>
    <w:rsid w:val="005552A3"/>
    <w:rsid w:val="00556E33"/>
    <w:rsid w:val="005640BF"/>
    <w:rsid w:val="005650BC"/>
    <w:rsid w:val="0057459F"/>
    <w:rsid w:val="00577F84"/>
    <w:rsid w:val="00580AAD"/>
    <w:rsid w:val="00585519"/>
    <w:rsid w:val="0059620F"/>
    <w:rsid w:val="005C4AF7"/>
    <w:rsid w:val="005E4C81"/>
    <w:rsid w:val="00602021"/>
    <w:rsid w:val="00603A94"/>
    <w:rsid w:val="006213F9"/>
    <w:rsid w:val="00623E52"/>
    <w:rsid w:val="00627F72"/>
    <w:rsid w:val="00645AD0"/>
    <w:rsid w:val="00647C20"/>
    <w:rsid w:val="00654B2A"/>
    <w:rsid w:val="00657D2E"/>
    <w:rsid w:val="00690E70"/>
    <w:rsid w:val="006C0A4A"/>
    <w:rsid w:val="006D13A0"/>
    <w:rsid w:val="006D176A"/>
    <w:rsid w:val="006D195E"/>
    <w:rsid w:val="006D22A4"/>
    <w:rsid w:val="006E0511"/>
    <w:rsid w:val="006E60DF"/>
    <w:rsid w:val="007034D3"/>
    <w:rsid w:val="00721F71"/>
    <w:rsid w:val="0073360C"/>
    <w:rsid w:val="00736B38"/>
    <w:rsid w:val="00742C85"/>
    <w:rsid w:val="00754539"/>
    <w:rsid w:val="00754FD0"/>
    <w:rsid w:val="0077361B"/>
    <w:rsid w:val="0078467D"/>
    <w:rsid w:val="007848D3"/>
    <w:rsid w:val="0079199D"/>
    <w:rsid w:val="0079305F"/>
    <w:rsid w:val="007B6D3B"/>
    <w:rsid w:val="007C3727"/>
    <w:rsid w:val="007C40CE"/>
    <w:rsid w:val="007D102C"/>
    <w:rsid w:val="007E0B53"/>
    <w:rsid w:val="00800766"/>
    <w:rsid w:val="00805843"/>
    <w:rsid w:val="00805CC5"/>
    <w:rsid w:val="00813045"/>
    <w:rsid w:val="008130DA"/>
    <w:rsid w:val="00815481"/>
    <w:rsid w:val="00817377"/>
    <w:rsid w:val="00830251"/>
    <w:rsid w:val="00853C6E"/>
    <w:rsid w:val="00857CA5"/>
    <w:rsid w:val="0089320B"/>
    <w:rsid w:val="008A6E66"/>
    <w:rsid w:val="008D51A0"/>
    <w:rsid w:val="008F15EA"/>
    <w:rsid w:val="00913F14"/>
    <w:rsid w:val="0092306F"/>
    <w:rsid w:val="00945145"/>
    <w:rsid w:val="00945C7F"/>
    <w:rsid w:val="00950D76"/>
    <w:rsid w:val="00960659"/>
    <w:rsid w:val="00965378"/>
    <w:rsid w:val="00973EEB"/>
    <w:rsid w:val="00977AE7"/>
    <w:rsid w:val="00986E1D"/>
    <w:rsid w:val="0099394E"/>
    <w:rsid w:val="009A3885"/>
    <w:rsid w:val="009B5E5A"/>
    <w:rsid w:val="009B6FCA"/>
    <w:rsid w:val="009C6EA8"/>
    <w:rsid w:val="009D2241"/>
    <w:rsid w:val="009D4F89"/>
    <w:rsid w:val="009E4BB1"/>
    <w:rsid w:val="00A017CA"/>
    <w:rsid w:val="00A2539A"/>
    <w:rsid w:val="00A37F31"/>
    <w:rsid w:val="00A60995"/>
    <w:rsid w:val="00A648D1"/>
    <w:rsid w:val="00A66F2A"/>
    <w:rsid w:val="00A96CA0"/>
    <w:rsid w:val="00AA16AC"/>
    <w:rsid w:val="00AB1D2A"/>
    <w:rsid w:val="00AB30DB"/>
    <w:rsid w:val="00AC3065"/>
    <w:rsid w:val="00AD642D"/>
    <w:rsid w:val="00AE1A13"/>
    <w:rsid w:val="00AE3BB8"/>
    <w:rsid w:val="00AE6343"/>
    <w:rsid w:val="00B01F83"/>
    <w:rsid w:val="00B062F3"/>
    <w:rsid w:val="00B330BD"/>
    <w:rsid w:val="00B704CC"/>
    <w:rsid w:val="00BA70FF"/>
    <w:rsid w:val="00BA71CB"/>
    <w:rsid w:val="00BC1205"/>
    <w:rsid w:val="00BD6964"/>
    <w:rsid w:val="00BE0E5A"/>
    <w:rsid w:val="00BF155E"/>
    <w:rsid w:val="00C066D8"/>
    <w:rsid w:val="00C10518"/>
    <w:rsid w:val="00C22763"/>
    <w:rsid w:val="00C41C9C"/>
    <w:rsid w:val="00C5567F"/>
    <w:rsid w:val="00C63D82"/>
    <w:rsid w:val="00C746BD"/>
    <w:rsid w:val="00C76AED"/>
    <w:rsid w:val="00C858FE"/>
    <w:rsid w:val="00C919A0"/>
    <w:rsid w:val="00CB37CB"/>
    <w:rsid w:val="00CC316C"/>
    <w:rsid w:val="00CD08DE"/>
    <w:rsid w:val="00CD4658"/>
    <w:rsid w:val="00D0513E"/>
    <w:rsid w:val="00D061C3"/>
    <w:rsid w:val="00D10468"/>
    <w:rsid w:val="00D1723D"/>
    <w:rsid w:val="00D27B49"/>
    <w:rsid w:val="00D432FD"/>
    <w:rsid w:val="00D7029B"/>
    <w:rsid w:val="00D83A25"/>
    <w:rsid w:val="00D9260E"/>
    <w:rsid w:val="00D9455C"/>
    <w:rsid w:val="00DA2234"/>
    <w:rsid w:val="00DB7C1E"/>
    <w:rsid w:val="00DC6504"/>
    <w:rsid w:val="00DD184E"/>
    <w:rsid w:val="00DF2199"/>
    <w:rsid w:val="00DF383A"/>
    <w:rsid w:val="00DF5C48"/>
    <w:rsid w:val="00E02A9E"/>
    <w:rsid w:val="00E22DD1"/>
    <w:rsid w:val="00E302C4"/>
    <w:rsid w:val="00E3381F"/>
    <w:rsid w:val="00E35D19"/>
    <w:rsid w:val="00E4062C"/>
    <w:rsid w:val="00E40C3D"/>
    <w:rsid w:val="00E456F1"/>
    <w:rsid w:val="00E46188"/>
    <w:rsid w:val="00E54BEE"/>
    <w:rsid w:val="00E64AEC"/>
    <w:rsid w:val="00E72019"/>
    <w:rsid w:val="00E8432A"/>
    <w:rsid w:val="00EA2981"/>
    <w:rsid w:val="00EB2CA3"/>
    <w:rsid w:val="00EC5F0E"/>
    <w:rsid w:val="00EC789A"/>
    <w:rsid w:val="00ED27FC"/>
    <w:rsid w:val="00F07937"/>
    <w:rsid w:val="00F27208"/>
    <w:rsid w:val="00F35E94"/>
    <w:rsid w:val="00F4138C"/>
    <w:rsid w:val="00F4702E"/>
    <w:rsid w:val="00F47C51"/>
    <w:rsid w:val="00F56E8C"/>
    <w:rsid w:val="00F7248D"/>
    <w:rsid w:val="00F73353"/>
    <w:rsid w:val="00F90B4C"/>
    <w:rsid w:val="00F93942"/>
    <w:rsid w:val="00FC30D6"/>
    <w:rsid w:val="00FE3DE4"/>
    <w:rsid w:val="00FE64F6"/>
    <w:rsid w:val="00FE7181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55763-3C68-4616-B540-5DE423F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3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mike@gmar.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gmar.w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mike@gmar.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ar.com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.GMAR\Dropbox\GMAR\001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/>
              <a:t>Inventory </a:t>
            </a:r>
            <a:r>
              <a:rPr lang="en-US" sz="900"/>
              <a:t>(units left</a:t>
            </a:r>
            <a:r>
              <a:rPr lang="en-US" sz="900" baseline="0"/>
              <a:t> side)</a:t>
            </a:r>
            <a:endParaRPr lang="en-US" sz="900"/>
          </a:p>
        </c:rich>
      </c:tx>
      <c:layout>
        <c:manualLayout>
          <c:xMode val="edge"/>
          <c:yMode val="edge"/>
          <c:x val="0.3380089467360593"/>
          <c:y val="3.49726516853083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431251709041085"/>
          <c:y val="0.14728484926226676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Data'!$A$139</c:f>
              <c:strCache>
                <c:ptCount val="1"/>
                <c:pt idx="0">
                  <c:v>Current Active (Net)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cat>
            <c:strRef>
              <c:f>'Monthly Stats Data'!$B$137:$N$137</c:f>
              <c:strCache>
                <c:ptCount val="13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 </c:v>
                </c:pt>
                <c:pt idx="11">
                  <c:v>Feb</c:v>
                </c:pt>
                <c:pt idx="12">
                  <c:v>March</c:v>
                </c:pt>
              </c:strCache>
            </c:strRef>
          </c:cat>
          <c:val>
            <c:numRef>
              <c:f>'Monthly Stats Data'!$B$139:$N$139</c:f>
              <c:numCache>
                <c:formatCode>_(* #,##0_);_(* \(#,##0\);_(* "-"??_);_(@_)</c:formatCode>
                <c:ptCount val="13"/>
                <c:pt idx="0">
                  <c:v>3715</c:v>
                </c:pt>
                <c:pt idx="1">
                  <c:v>3630</c:v>
                </c:pt>
                <c:pt idx="2">
                  <c:v>4071</c:v>
                </c:pt>
                <c:pt idx="3">
                  <c:v>4486</c:v>
                </c:pt>
                <c:pt idx="4">
                  <c:v>4526</c:v>
                </c:pt>
                <c:pt idx="5">
                  <c:v>5005</c:v>
                </c:pt>
                <c:pt idx="6">
                  <c:v>5057</c:v>
                </c:pt>
                <c:pt idx="7">
                  <c:v>5007</c:v>
                </c:pt>
                <c:pt idx="8">
                  <c:v>4583</c:v>
                </c:pt>
                <c:pt idx="9">
                  <c:v>3897</c:v>
                </c:pt>
                <c:pt idx="10">
                  <c:v>3389</c:v>
                </c:pt>
                <c:pt idx="11">
                  <c:v>3132</c:v>
                </c:pt>
                <c:pt idx="12">
                  <c:v>3233</c:v>
                </c:pt>
              </c:numCache>
            </c:numRef>
          </c:val>
        </c:ser>
        <c:ser>
          <c:idx val="1"/>
          <c:order val="1"/>
          <c:tx>
            <c:strRef>
              <c:f>'Monthly Stats Data'!$A$140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'Monthly Stats Data'!$B$137:$N$137</c:f>
              <c:strCache>
                <c:ptCount val="13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 </c:v>
                </c:pt>
                <c:pt idx="11">
                  <c:v>Feb</c:v>
                </c:pt>
                <c:pt idx="12">
                  <c:v>March</c:v>
                </c:pt>
              </c:strCache>
            </c:strRef>
          </c:cat>
          <c:val>
            <c:numRef>
              <c:f>'Monthly Stats Data'!$B$140:$N$140</c:f>
              <c:numCache>
                <c:formatCode>_(* #,##0_);_(* \(#,##0\);_(* "-"??_);_(@_)</c:formatCode>
                <c:ptCount val="13"/>
                <c:pt idx="0">
                  <c:v>2444</c:v>
                </c:pt>
                <c:pt idx="1">
                  <c:v>2701</c:v>
                </c:pt>
                <c:pt idx="2">
                  <c:v>2783</c:v>
                </c:pt>
                <c:pt idx="3" formatCode="General">
                  <c:v>2491</c:v>
                </c:pt>
                <c:pt idx="4">
                  <c:v>2369</c:v>
                </c:pt>
                <c:pt idx="5">
                  <c:v>2095</c:v>
                </c:pt>
                <c:pt idx="6">
                  <c:v>1840</c:v>
                </c:pt>
                <c:pt idx="7">
                  <c:v>1670</c:v>
                </c:pt>
                <c:pt idx="8">
                  <c:v>1330</c:v>
                </c:pt>
                <c:pt idx="9">
                  <c:v>1101</c:v>
                </c:pt>
                <c:pt idx="10">
                  <c:v>1631</c:v>
                </c:pt>
                <c:pt idx="11">
                  <c:v>1768</c:v>
                </c:pt>
                <c:pt idx="12">
                  <c:v>2321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7755864"/>
        <c:axId val="397732144"/>
      </c:areaChart>
      <c:lineChart>
        <c:grouping val="standard"/>
        <c:varyColors val="0"/>
        <c:ser>
          <c:idx val="2"/>
          <c:order val="2"/>
          <c:tx>
            <c:strRef>
              <c:f>'Monthly Stats Data'!$A$141</c:f>
              <c:strCache>
                <c:ptCount val="1"/>
                <c:pt idx="0">
                  <c:v>Mos of Inventory (right)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Data'!$B$137:$N$137</c:f>
              <c:strCache>
                <c:ptCount val="13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 </c:v>
                </c:pt>
                <c:pt idx="11">
                  <c:v>Feb</c:v>
                </c:pt>
                <c:pt idx="12">
                  <c:v>March</c:v>
                </c:pt>
              </c:strCache>
            </c:strRef>
          </c:cat>
          <c:val>
            <c:numRef>
              <c:f>'Monthly Stats Data'!$B$141:$N$141</c:f>
              <c:numCache>
                <c:formatCode>0.0</c:formatCode>
                <c:ptCount val="13"/>
                <c:pt idx="0">
                  <c:v>1.7</c:v>
                </c:pt>
                <c:pt idx="1">
                  <c:v>1.7</c:v>
                </c:pt>
                <c:pt idx="2">
                  <c:v>1.9</c:v>
                </c:pt>
                <c:pt idx="3">
                  <c:v>1.9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2.4</c:v>
                </c:pt>
                <c:pt idx="7">
                  <c:v>2.2000000000000002</c:v>
                </c:pt>
                <c:pt idx="8">
                  <c:v>2</c:v>
                </c:pt>
                <c:pt idx="9">
                  <c:v>1.7</c:v>
                </c:pt>
                <c:pt idx="10">
                  <c:v>1.6</c:v>
                </c:pt>
                <c:pt idx="11">
                  <c:v>1.6</c:v>
                </c:pt>
                <c:pt idx="12">
                  <c:v>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265272"/>
        <c:axId val="397732928"/>
      </c:lineChart>
      <c:catAx>
        <c:axId val="39775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397732144"/>
        <c:crosses val="autoZero"/>
        <c:auto val="1"/>
        <c:lblAlgn val="ctr"/>
        <c:lblOffset val="100"/>
        <c:noMultiLvlLbl val="0"/>
      </c:catAx>
      <c:valAx>
        <c:axId val="39773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397755864"/>
        <c:crosses val="autoZero"/>
        <c:crossBetween val="between"/>
      </c:valAx>
      <c:valAx>
        <c:axId val="397732928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02265272"/>
        <c:crosses val="max"/>
        <c:crossBetween val="between"/>
      </c:valAx>
      <c:catAx>
        <c:axId val="402265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7732928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11</cp:revision>
  <cp:lastPrinted>2019-04-11T15:30:00Z</cp:lastPrinted>
  <dcterms:created xsi:type="dcterms:W3CDTF">2019-04-10T17:45:00Z</dcterms:created>
  <dcterms:modified xsi:type="dcterms:W3CDTF">2019-04-11T19:09:00Z</dcterms:modified>
</cp:coreProperties>
</file>