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9E22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3F6C47" w:rsidP="001F5CBD">
                            <w:pPr>
                              <w:ind w:firstLine="720"/>
                              <w:rPr>
                                <w:color w:val="FFFFFF" w:themeColor="background1"/>
                              </w:rPr>
                            </w:pPr>
                            <w:hyperlink r:id="rId6" w:history="1">
                              <w:r w:rsidR="001F5CBD" w:rsidRPr="00A66F2A">
                                <w:rPr>
                                  <w:rStyle w:val="Hyperlink"/>
                                  <w:color w:val="FFFFFF" w:themeColor="background1"/>
                                  <w:sz w:val="26"/>
                                  <w:szCs w:val="26"/>
                                </w:rPr>
                                <w:t>mike@gmar.ws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3F6C47" w:rsidP="001F5CBD">
                      <w:pPr>
                        <w:ind w:firstLine="720"/>
                        <w:rPr>
                          <w:color w:val="FFFFFF" w:themeColor="background1"/>
                        </w:rPr>
                      </w:pPr>
                      <w:hyperlink r:id="rId7" w:history="1">
                        <w:r w:rsidR="001F5CBD" w:rsidRPr="00A66F2A">
                          <w:rPr>
                            <w:rStyle w:val="Hyperlink"/>
                            <w:color w:val="FFFFFF" w:themeColor="background1"/>
                            <w:sz w:val="26"/>
                            <w:szCs w:val="26"/>
                          </w:rPr>
                          <w:t>mike@gmar.ws</w:t>
                        </w:r>
                      </w:hyperlink>
                    </w:p>
                  </w:txbxContent>
                </v:textbox>
              </v:shape>
            </w:pict>
          </mc:Fallback>
        </mc:AlternateContent>
      </w:r>
      <w:r w:rsidR="00127EF0">
        <w:rPr>
          <w:sz w:val="24"/>
          <w:szCs w:val="24"/>
        </w:rPr>
        <w:t xml:space="preserve"> </w:t>
      </w:r>
    </w:p>
    <w:p w:rsidR="00127EF0" w:rsidRDefault="00127EF0" w:rsidP="00127EF0">
      <w:pPr>
        <w:rPr>
          <w:sz w:val="24"/>
          <w:szCs w:val="24"/>
        </w:rPr>
      </w:pPr>
    </w:p>
    <w:p w:rsidR="00127EF0" w:rsidRDefault="00127EF0" w:rsidP="00127EF0">
      <w:pPr>
        <w:rPr>
          <w:sz w:val="24"/>
          <w:szCs w:val="24"/>
        </w:rPr>
      </w:pPr>
    </w:p>
    <w:p w:rsidR="00127EF0" w:rsidRDefault="00127EF0" w:rsidP="00127EF0">
      <w:pPr>
        <w:jc w:val="center"/>
        <w:rPr>
          <w:rFonts w:eastAsia="Times New Roman"/>
          <w:b/>
          <w:bCs/>
          <w:sz w:val="24"/>
          <w:szCs w:val="24"/>
        </w:rPr>
      </w:pPr>
    </w:p>
    <w:p w:rsidR="001F5CBD" w:rsidRDefault="001F5CBD" w:rsidP="00127EF0">
      <w:pPr>
        <w:spacing w:before="120" w:after="120"/>
        <w:ind w:left="-360" w:right="-360"/>
        <w:contextualSpacing/>
        <w:jc w:val="center"/>
        <w:rPr>
          <w:rFonts w:ascii="Arial Narrow" w:hAnsi="Arial Narrow"/>
          <w:b/>
          <w:bCs/>
          <w:sz w:val="56"/>
          <w:szCs w:val="56"/>
        </w:rPr>
      </w:pPr>
    </w:p>
    <w:p w:rsidR="001F5CBD" w:rsidRDefault="001F5CBD" w:rsidP="001F5CBD">
      <w:pPr>
        <w:spacing w:before="120" w:after="120"/>
        <w:ind w:left="-360" w:right="-360"/>
        <w:contextualSpacing/>
        <w:jc w:val="center"/>
        <w:rPr>
          <w:rFonts w:ascii="Arial Narrow" w:hAnsi="Arial Narrow"/>
          <w:b/>
          <w:bCs/>
          <w:sz w:val="56"/>
          <w:szCs w:val="56"/>
        </w:rPr>
      </w:pPr>
    </w:p>
    <w:p w:rsidR="00127EF0" w:rsidRPr="001F5CBD" w:rsidRDefault="003121D0" w:rsidP="001F5CBD">
      <w:pPr>
        <w:spacing w:before="120" w:after="120"/>
        <w:ind w:left="-360" w:right="-360"/>
        <w:contextualSpacing/>
        <w:jc w:val="center"/>
        <w:rPr>
          <w:rFonts w:ascii="Arial Narrow" w:hAnsi="Arial Narrow"/>
          <w:b/>
          <w:bCs/>
          <w:sz w:val="72"/>
          <w:szCs w:val="72"/>
        </w:rPr>
      </w:pPr>
      <w:r>
        <w:rPr>
          <w:rFonts w:ascii="Arial Narrow" w:hAnsi="Arial Narrow"/>
          <w:b/>
          <w:bCs/>
          <w:sz w:val="72"/>
          <w:szCs w:val="72"/>
        </w:rPr>
        <w:t>May</w:t>
      </w:r>
      <w:r w:rsidR="00127EF0" w:rsidRPr="001F5CBD">
        <w:rPr>
          <w:rFonts w:ascii="Arial Narrow" w:hAnsi="Arial Narrow"/>
          <w:b/>
          <w:bCs/>
          <w:sz w:val="72"/>
          <w:szCs w:val="72"/>
        </w:rPr>
        <w:t xml:space="preserve"> Home Sales </w:t>
      </w:r>
      <w:r w:rsidR="00D30CAD">
        <w:rPr>
          <w:rFonts w:ascii="Arial Narrow" w:hAnsi="Arial Narrow"/>
          <w:b/>
          <w:bCs/>
          <w:sz w:val="72"/>
          <w:szCs w:val="72"/>
        </w:rPr>
        <w:t>Up</w:t>
      </w:r>
      <w:r w:rsidR="00D01D6F">
        <w:rPr>
          <w:rFonts w:ascii="Arial Narrow" w:hAnsi="Arial Narrow"/>
          <w:b/>
          <w:bCs/>
          <w:sz w:val="72"/>
          <w:szCs w:val="72"/>
        </w:rPr>
        <w:t xml:space="preserve"> </w:t>
      </w:r>
      <w:r w:rsidR="00D30CAD">
        <w:rPr>
          <w:rFonts w:ascii="Arial Narrow" w:hAnsi="Arial Narrow"/>
          <w:b/>
          <w:bCs/>
          <w:sz w:val="72"/>
          <w:szCs w:val="72"/>
        </w:rPr>
        <w:t>0</w:t>
      </w:r>
      <w:r w:rsidR="009E7792">
        <w:rPr>
          <w:rFonts w:ascii="Arial Narrow" w:hAnsi="Arial Narrow"/>
          <w:b/>
          <w:bCs/>
          <w:sz w:val="72"/>
          <w:szCs w:val="72"/>
        </w:rPr>
        <w:t>.7</w:t>
      </w:r>
      <w:r w:rsidR="00127EF0" w:rsidRPr="001F5CBD">
        <w:rPr>
          <w:rFonts w:ascii="Arial Narrow" w:hAnsi="Arial Narrow"/>
          <w:b/>
          <w:bCs/>
          <w:sz w:val="72"/>
          <w:szCs w:val="72"/>
        </w:rPr>
        <w:t>%</w:t>
      </w:r>
    </w:p>
    <w:p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160"/>
      </w:tblGrid>
      <w:tr w:rsidR="00E302C4" w:rsidTr="00F93B42">
        <w:trPr>
          <w:trHeight w:val="495"/>
        </w:trPr>
        <w:tc>
          <w:tcPr>
            <w:tcW w:w="5160" w:type="dxa"/>
            <w:vAlign w:val="center"/>
          </w:tcPr>
          <w:p w:rsidR="00E302C4" w:rsidRPr="00E302C4" w:rsidRDefault="00E302C4" w:rsidP="00E302C4">
            <w:pPr>
              <w:spacing w:before="120" w:after="120"/>
              <w:ind w:left="-115" w:right="-360"/>
              <w:contextualSpacing/>
              <w:rPr>
                <w:rFonts w:ascii="Arial Narrow" w:hAnsi="Arial Narrow"/>
                <w:sz w:val="24"/>
                <w:szCs w:val="24"/>
              </w:rPr>
            </w:pPr>
            <w:r w:rsidRPr="00E302C4">
              <w:rPr>
                <w:rFonts w:ascii="Arial Narrow" w:hAnsi="Arial Narrow"/>
                <w:b/>
                <w:bCs/>
                <w:sz w:val="24"/>
                <w:szCs w:val="24"/>
              </w:rPr>
              <w:t>Market Highlights</w:t>
            </w:r>
          </w:p>
        </w:tc>
      </w:tr>
      <w:tr w:rsidR="00E302C4" w:rsidTr="00F93B42">
        <w:trPr>
          <w:trHeight w:hRule="exact" w:val="375"/>
        </w:trPr>
        <w:tc>
          <w:tcPr>
            <w:tcW w:w="5160" w:type="dxa"/>
            <w:shd w:val="clear" w:color="auto" w:fill="DEEAF6" w:themeFill="accent1" w:themeFillTint="33"/>
            <w:vAlign w:val="center"/>
          </w:tcPr>
          <w:p w:rsidR="00E302C4" w:rsidRPr="00577F84" w:rsidRDefault="00F93B42" w:rsidP="007E478A">
            <w:pPr>
              <w:pStyle w:val="ListParagraph"/>
              <w:numPr>
                <w:ilvl w:val="0"/>
                <w:numId w:val="3"/>
              </w:numPr>
              <w:spacing w:after="120"/>
              <w:ind w:left="240" w:right="-360" w:hanging="240"/>
              <w:rPr>
                <w:sz w:val="24"/>
                <w:szCs w:val="24"/>
              </w:rPr>
            </w:pPr>
            <w:r>
              <w:rPr>
                <w:sz w:val="24"/>
                <w:szCs w:val="24"/>
              </w:rPr>
              <w:t>First Positive Month in 2019</w:t>
            </w:r>
          </w:p>
        </w:tc>
      </w:tr>
      <w:tr w:rsidR="00E302C4" w:rsidTr="00F93B42">
        <w:trPr>
          <w:trHeight w:hRule="exact" w:val="375"/>
        </w:trPr>
        <w:tc>
          <w:tcPr>
            <w:tcW w:w="5160" w:type="dxa"/>
            <w:shd w:val="clear" w:color="auto" w:fill="DEEAF6" w:themeFill="accent1" w:themeFillTint="33"/>
            <w:vAlign w:val="center"/>
          </w:tcPr>
          <w:p w:rsidR="00E302C4" w:rsidRPr="00577F84" w:rsidRDefault="00F93B42" w:rsidP="00F81E12">
            <w:pPr>
              <w:pStyle w:val="ListParagraph"/>
              <w:numPr>
                <w:ilvl w:val="0"/>
                <w:numId w:val="3"/>
              </w:numPr>
              <w:spacing w:after="120"/>
              <w:ind w:left="240" w:right="-360" w:hanging="240"/>
              <w:rPr>
                <w:sz w:val="24"/>
                <w:szCs w:val="24"/>
              </w:rPr>
            </w:pPr>
            <w:r>
              <w:rPr>
                <w:sz w:val="24"/>
                <w:szCs w:val="24"/>
              </w:rPr>
              <w:t>2</w:t>
            </w:r>
            <w:r w:rsidRPr="00F93B42">
              <w:rPr>
                <w:sz w:val="24"/>
                <w:szCs w:val="24"/>
                <w:vertAlign w:val="superscript"/>
              </w:rPr>
              <w:t>nd</w:t>
            </w:r>
            <w:r>
              <w:rPr>
                <w:sz w:val="24"/>
                <w:szCs w:val="24"/>
              </w:rPr>
              <w:t xml:space="preserve"> Strongest May This Century</w:t>
            </w:r>
          </w:p>
        </w:tc>
      </w:tr>
      <w:tr w:rsidR="00E302C4" w:rsidTr="00F93B42">
        <w:trPr>
          <w:trHeight w:hRule="exact" w:val="375"/>
        </w:trPr>
        <w:tc>
          <w:tcPr>
            <w:tcW w:w="5160" w:type="dxa"/>
            <w:shd w:val="clear" w:color="auto" w:fill="DEEAF6" w:themeFill="accent1" w:themeFillTint="33"/>
            <w:vAlign w:val="center"/>
          </w:tcPr>
          <w:p w:rsidR="00E302C4" w:rsidRDefault="000D45BC" w:rsidP="0089092A">
            <w:pPr>
              <w:pStyle w:val="ListParagraph"/>
              <w:numPr>
                <w:ilvl w:val="0"/>
                <w:numId w:val="3"/>
              </w:numPr>
              <w:spacing w:after="120"/>
              <w:ind w:left="240" w:right="-360" w:hanging="240"/>
              <w:rPr>
                <w:sz w:val="24"/>
                <w:szCs w:val="24"/>
              </w:rPr>
            </w:pPr>
            <w:r>
              <w:rPr>
                <w:sz w:val="24"/>
                <w:szCs w:val="24"/>
              </w:rPr>
              <w:t>M</w:t>
            </w:r>
            <w:r w:rsidR="006B1AEE">
              <w:rPr>
                <w:sz w:val="24"/>
                <w:szCs w:val="24"/>
              </w:rPr>
              <w:t xml:space="preserve">ore </w:t>
            </w:r>
            <w:r>
              <w:rPr>
                <w:sz w:val="24"/>
                <w:szCs w:val="24"/>
              </w:rPr>
              <w:t>U</w:t>
            </w:r>
            <w:r w:rsidR="006B1AEE">
              <w:rPr>
                <w:sz w:val="24"/>
                <w:szCs w:val="24"/>
              </w:rPr>
              <w:t xml:space="preserve">nits </w:t>
            </w:r>
            <w:r>
              <w:rPr>
                <w:sz w:val="24"/>
                <w:szCs w:val="24"/>
              </w:rPr>
              <w:t>N</w:t>
            </w:r>
            <w:r w:rsidR="0089092A">
              <w:rPr>
                <w:sz w:val="24"/>
                <w:szCs w:val="24"/>
              </w:rPr>
              <w:t xml:space="preserve">eeded </w:t>
            </w:r>
            <w:r>
              <w:rPr>
                <w:sz w:val="24"/>
                <w:szCs w:val="24"/>
              </w:rPr>
              <w:t>U</w:t>
            </w:r>
            <w:r w:rsidR="006B1AEE">
              <w:rPr>
                <w:sz w:val="24"/>
                <w:szCs w:val="24"/>
              </w:rPr>
              <w:t>nder $300K</w:t>
            </w:r>
          </w:p>
        </w:tc>
      </w:tr>
    </w:tbl>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E302C4" w:rsidRDefault="00E302C4" w:rsidP="001F5CBD">
      <w:pPr>
        <w:spacing w:before="120" w:after="120"/>
        <w:ind w:left="-360" w:right="-360"/>
        <w:contextualSpacing/>
        <w:rPr>
          <w:sz w:val="24"/>
          <w:szCs w:val="24"/>
        </w:rPr>
      </w:pPr>
    </w:p>
    <w:p w:rsidR="00E302C4" w:rsidRDefault="00E302C4" w:rsidP="001F5CBD">
      <w:pPr>
        <w:spacing w:before="120" w:after="120"/>
        <w:ind w:left="-360" w:right="-360"/>
        <w:contextualSpacing/>
        <w:rPr>
          <w:sz w:val="24"/>
          <w:szCs w:val="24"/>
        </w:rPr>
      </w:pPr>
    </w:p>
    <w:p w:rsidR="003C35B1" w:rsidRDefault="003121D0" w:rsidP="00637D71">
      <w:pPr>
        <w:spacing w:before="120" w:after="120"/>
        <w:ind w:left="-360" w:right="-360"/>
        <w:contextualSpacing/>
        <w:rPr>
          <w:sz w:val="24"/>
          <w:szCs w:val="24"/>
        </w:rPr>
      </w:pPr>
      <w:r>
        <w:rPr>
          <w:sz w:val="24"/>
          <w:szCs w:val="24"/>
        </w:rPr>
        <w:t>June</w:t>
      </w:r>
      <w:r w:rsidR="00366609">
        <w:rPr>
          <w:sz w:val="24"/>
          <w:szCs w:val="24"/>
        </w:rPr>
        <w:t xml:space="preserve"> </w:t>
      </w:r>
      <w:r w:rsidR="00E56F12">
        <w:rPr>
          <w:sz w:val="24"/>
          <w:szCs w:val="24"/>
        </w:rPr>
        <w:t>1</w:t>
      </w:r>
      <w:r w:rsidR="009E7792">
        <w:rPr>
          <w:sz w:val="24"/>
          <w:szCs w:val="24"/>
        </w:rPr>
        <w:t>0</w:t>
      </w:r>
      <w:r w:rsidR="00127EF0">
        <w:rPr>
          <w:sz w:val="24"/>
          <w:szCs w:val="24"/>
        </w:rPr>
        <w:t>, 201</w:t>
      </w:r>
      <w:r w:rsidR="00366609">
        <w:rPr>
          <w:sz w:val="24"/>
          <w:szCs w:val="24"/>
        </w:rPr>
        <w:t>9</w:t>
      </w:r>
      <w:r w:rsidR="00127EF0">
        <w:rPr>
          <w:sz w:val="24"/>
          <w:szCs w:val="24"/>
        </w:rPr>
        <w:t xml:space="preserve"> – Home sales were </w:t>
      </w:r>
      <w:r w:rsidR="00F93B42">
        <w:rPr>
          <w:sz w:val="24"/>
          <w:szCs w:val="24"/>
        </w:rPr>
        <w:t>up</w:t>
      </w:r>
      <w:r w:rsidR="0068075F">
        <w:rPr>
          <w:sz w:val="24"/>
          <w:szCs w:val="24"/>
        </w:rPr>
        <w:t xml:space="preserve"> </w:t>
      </w:r>
      <w:r w:rsidR="00F93B42">
        <w:rPr>
          <w:sz w:val="24"/>
          <w:szCs w:val="24"/>
        </w:rPr>
        <w:t>0</w:t>
      </w:r>
      <w:r w:rsidR="009E7792">
        <w:rPr>
          <w:sz w:val="24"/>
          <w:szCs w:val="24"/>
        </w:rPr>
        <w:t>.7%</w:t>
      </w:r>
      <w:r w:rsidR="00036C88">
        <w:rPr>
          <w:sz w:val="24"/>
          <w:szCs w:val="24"/>
        </w:rPr>
        <w:t xml:space="preserve"> </w:t>
      </w:r>
      <w:r w:rsidR="009717AC">
        <w:rPr>
          <w:sz w:val="24"/>
          <w:szCs w:val="24"/>
        </w:rPr>
        <w:t xml:space="preserve">in </w:t>
      </w:r>
      <w:r>
        <w:rPr>
          <w:sz w:val="24"/>
          <w:szCs w:val="24"/>
        </w:rPr>
        <w:t>May</w:t>
      </w:r>
      <w:r w:rsidR="00FE44EA">
        <w:rPr>
          <w:sz w:val="24"/>
          <w:szCs w:val="24"/>
        </w:rPr>
        <w:t xml:space="preserve"> compared to a year earlier</w:t>
      </w:r>
      <w:r w:rsidR="003C35B1">
        <w:rPr>
          <w:sz w:val="24"/>
          <w:szCs w:val="24"/>
        </w:rPr>
        <w:t xml:space="preserve">. There were </w:t>
      </w:r>
      <w:r w:rsidR="00F93B42">
        <w:rPr>
          <w:sz w:val="24"/>
          <w:szCs w:val="24"/>
        </w:rPr>
        <w:t>2</w:t>
      </w:r>
      <w:r w:rsidR="003C35B1">
        <w:rPr>
          <w:sz w:val="24"/>
          <w:szCs w:val="24"/>
        </w:rPr>
        <w:t>,</w:t>
      </w:r>
      <w:r w:rsidR="00F93B42">
        <w:rPr>
          <w:sz w:val="24"/>
          <w:szCs w:val="24"/>
        </w:rPr>
        <w:t xml:space="preserve">121 </w:t>
      </w:r>
      <w:r w:rsidR="003C35B1">
        <w:rPr>
          <w:sz w:val="24"/>
          <w:szCs w:val="24"/>
        </w:rPr>
        <w:t xml:space="preserve">homes sold in </w:t>
      </w:r>
      <w:r>
        <w:rPr>
          <w:sz w:val="24"/>
          <w:szCs w:val="24"/>
        </w:rPr>
        <w:t>May</w:t>
      </w:r>
      <w:r w:rsidR="003C35B1">
        <w:rPr>
          <w:sz w:val="24"/>
          <w:szCs w:val="24"/>
        </w:rPr>
        <w:t xml:space="preserve"> 2019, versus </w:t>
      </w:r>
      <w:r w:rsidR="00F93B42">
        <w:rPr>
          <w:sz w:val="24"/>
          <w:szCs w:val="24"/>
        </w:rPr>
        <w:t>2</w:t>
      </w:r>
      <w:r w:rsidR="003C35B1">
        <w:rPr>
          <w:sz w:val="24"/>
          <w:szCs w:val="24"/>
        </w:rPr>
        <w:t>,</w:t>
      </w:r>
      <w:r w:rsidR="00F93B42">
        <w:rPr>
          <w:sz w:val="24"/>
          <w:szCs w:val="24"/>
        </w:rPr>
        <w:t>136</w:t>
      </w:r>
      <w:r w:rsidR="003C35B1">
        <w:rPr>
          <w:sz w:val="24"/>
          <w:szCs w:val="24"/>
        </w:rPr>
        <w:t xml:space="preserve"> units in </w:t>
      </w:r>
      <w:r>
        <w:rPr>
          <w:sz w:val="24"/>
          <w:szCs w:val="24"/>
        </w:rPr>
        <w:t>May</w:t>
      </w:r>
      <w:r w:rsidR="003C35B1">
        <w:rPr>
          <w:sz w:val="24"/>
          <w:szCs w:val="24"/>
        </w:rPr>
        <w:t xml:space="preserve"> 2018.</w:t>
      </w:r>
    </w:p>
    <w:p w:rsidR="003C35B1" w:rsidRDefault="003C35B1" w:rsidP="003C35B1">
      <w:pPr>
        <w:spacing w:before="120" w:after="120"/>
        <w:ind w:left="-360" w:right="-360"/>
        <w:contextualSpacing/>
        <w:rPr>
          <w:sz w:val="24"/>
          <w:szCs w:val="24"/>
        </w:rPr>
      </w:pPr>
    </w:p>
    <w:p w:rsidR="00637D71" w:rsidRDefault="003121D0" w:rsidP="00637D71">
      <w:pPr>
        <w:spacing w:before="120" w:after="120"/>
        <w:ind w:left="-360" w:right="-360"/>
        <w:contextualSpacing/>
        <w:rPr>
          <w:sz w:val="24"/>
          <w:szCs w:val="24"/>
        </w:rPr>
      </w:pPr>
      <w:r>
        <w:rPr>
          <w:sz w:val="24"/>
          <w:szCs w:val="24"/>
        </w:rPr>
        <w:t>May</w:t>
      </w:r>
      <w:r w:rsidR="009E7792">
        <w:rPr>
          <w:sz w:val="24"/>
          <w:szCs w:val="24"/>
        </w:rPr>
        <w:t xml:space="preserve"> marked </w:t>
      </w:r>
      <w:r w:rsidR="00F93B42">
        <w:rPr>
          <w:sz w:val="24"/>
          <w:szCs w:val="24"/>
        </w:rPr>
        <w:t>the first time the market saw positive sales in 2019</w:t>
      </w:r>
      <w:r w:rsidR="009E7792">
        <w:rPr>
          <w:sz w:val="24"/>
          <w:szCs w:val="24"/>
        </w:rPr>
        <w:t>.</w:t>
      </w:r>
      <w:r w:rsidR="00822A10">
        <w:rPr>
          <w:sz w:val="24"/>
          <w:szCs w:val="24"/>
        </w:rPr>
        <w:t xml:space="preserve"> </w:t>
      </w:r>
      <w:r w:rsidR="000F44FF">
        <w:rPr>
          <w:sz w:val="24"/>
          <w:szCs w:val="24"/>
        </w:rPr>
        <w:t xml:space="preserve">There have only been 6 times May sales have exceeded 2,000 sales since 2000, in 2005 and 2006, and the last four consecutive years. </w:t>
      </w:r>
      <w:r w:rsidR="00822A10">
        <w:rPr>
          <w:sz w:val="24"/>
          <w:szCs w:val="24"/>
        </w:rPr>
        <w:t xml:space="preserve">Sales in the </w:t>
      </w:r>
      <w:r w:rsidR="002B0C16">
        <w:rPr>
          <w:sz w:val="24"/>
          <w:szCs w:val="24"/>
        </w:rPr>
        <w:t>p</w:t>
      </w:r>
      <w:r w:rsidR="00822A10">
        <w:rPr>
          <w:sz w:val="24"/>
          <w:szCs w:val="24"/>
        </w:rPr>
        <w:t xml:space="preserve">ast four years were within a </w:t>
      </w:r>
      <w:r w:rsidR="000F44FF">
        <w:rPr>
          <w:sz w:val="24"/>
          <w:szCs w:val="24"/>
        </w:rPr>
        <w:t>68</w:t>
      </w:r>
      <w:r w:rsidR="00822A10">
        <w:rPr>
          <w:sz w:val="24"/>
          <w:szCs w:val="24"/>
        </w:rPr>
        <w:t xml:space="preserve"> unit range. In 2016 there were </w:t>
      </w:r>
      <w:r w:rsidR="000F44FF">
        <w:rPr>
          <w:sz w:val="24"/>
          <w:szCs w:val="24"/>
        </w:rPr>
        <w:t>2</w:t>
      </w:r>
      <w:r w:rsidR="00822A10">
        <w:rPr>
          <w:sz w:val="24"/>
          <w:szCs w:val="24"/>
        </w:rPr>
        <w:t>,</w:t>
      </w:r>
      <w:r w:rsidR="000F44FF">
        <w:rPr>
          <w:sz w:val="24"/>
          <w:szCs w:val="24"/>
        </w:rPr>
        <w:t>111</w:t>
      </w:r>
      <w:r w:rsidR="00822A10">
        <w:rPr>
          <w:sz w:val="24"/>
          <w:szCs w:val="24"/>
        </w:rPr>
        <w:t xml:space="preserve"> sales, </w:t>
      </w:r>
      <w:r w:rsidR="000F44FF">
        <w:rPr>
          <w:sz w:val="24"/>
          <w:szCs w:val="24"/>
        </w:rPr>
        <w:t>2</w:t>
      </w:r>
      <w:r w:rsidR="002B0C16">
        <w:rPr>
          <w:sz w:val="24"/>
          <w:szCs w:val="24"/>
        </w:rPr>
        <w:t>,</w:t>
      </w:r>
      <w:r w:rsidR="000F44FF">
        <w:rPr>
          <w:sz w:val="24"/>
          <w:szCs w:val="24"/>
        </w:rPr>
        <w:t>179</w:t>
      </w:r>
      <w:r w:rsidR="002B0C16">
        <w:rPr>
          <w:sz w:val="24"/>
          <w:szCs w:val="24"/>
        </w:rPr>
        <w:t xml:space="preserve"> in </w:t>
      </w:r>
      <w:r w:rsidR="00822A10">
        <w:rPr>
          <w:sz w:val="24"/>
          <w:szCs w:val="24"/>
        </w:rPr>
        <w:t>2017</w:t>
      </w:r>
      <w:r w:rsidR="00F81E12">
        <w:rPr>
          <w:sz w:val="24"/>
          <w:szCs w:val="24"/>
        </w:rPr>
        <w:t xml:space="preserve">, </w:t>
      </w:r>
      <w:r w:rsidR="00822A10">
        <w:rPr>
          <w:sz w:val="24"/>
          <w:szCs w:val="24"/>
        </w:rPr>
        <w:t xml:space="preserve">and </w:t>
      </w:r>
      <w:r w:rsidR="000F44FF">
        <w:rPr>
          <w:sz w:val="24"/>
          <w:szCs w:val="24"/>
        </w:rPr>
        <w:t>2</w:t>
      </w:r>
      <w:r w:rsidR="002B0C16">
        <w:rPr>
          <w:sz w:val="24"/>
          <w:szCs w:val="24"/>
        </w:rPr>
        <w:t>,</w:t>
      </w:r>
      <w:r w:rsidR="000F44FF">
        <w:rPr>
          <w:sz w:val="24"/>
          <w:szCs w:val="24"/>
        </w:rPr>
        <w:t>121</w:t>
      </w:r>
      <w:r w:rsidR="002B0C16">
        <w:rPr>
          <w:sz w:val="24"/>
          <w:szCs w:val="24"/>
        </w:rPr>
        <w:t xml:space="preserve"> </w:t>
      </w:r>
      <w:r w:rsidR="00F81E12">
        <w:rPr>
          <w:sz w:val="24"/>
          <w:szCs w:val="24"/>
        </w:rPr>
        <w:t xml:space="preserve">in </w:t>
      </w:r>
      <w:r w:rsidR="00822A10">
        <w:rPr>
          <w:sz w:val="24"/>
          <w:szCs w:val="24"/>
        </w:rPr>
        <w:t>2018</w:t>
      </w:r>
      <w:r w:rsidR="0089092A">
        <w:rPr>
          <w:sz w:val="24"/>
          <w:szCs w:val="24"/>
        </w:rPr>
        <w:t xml:space="preserve">, compared to </w:t>
      </w:r>
      <w:r w:rsidR="000F44FF">
        <w:rPr>
          <w:sz w:val="24"/>
          <w:szCs w:val="24"/>
        </w:rPr>
        <w:t>2</w:t>
      </w:r>
      <w:r w:rsidR="0089092A">
        <w:rPr>
          <w:sz w:val="24"/>
          <w:szCs w:val="24"/>
        </w:rPr>
        <w:t>,</w:t>
      </w:r>
      <w:r w:rsidR="000F44FF">
        <w:rPr>
          <w:sz w:val="24"/>
          <w:szCs w:val="24"/>
        </w:rPr>
        <w:t>136</w:t>
      </w:r>
      <w:r w:rsidR="0089092A">
        <w:rPr>
          <w:sz w:val="24"/>
          <w:szCs w:val="24"/>
        </w:rPr>
        <w:t xml:space="preserve"> sales this </w:t>
      </w:r>
      <w:r>
        <w:rPr>
          <w:sz w:val="24"/>
          <w:szCs w:val="24"/>
        </w:rPr>
        <w:t>May</w:t>
      </w:r>
      <w:r w:rsidR="00F81E12">
        <w:rPr>
          <w:sz w:val="24"/>
          <w:szCs w:val="24"/>
        </w:rPr>
        <w:t>.</w:t>
      </w:r>
      <w:r w:rsidR="00822A10">
        <w:rPr>
          <w:sz w:val="24"/>
          <w:szCs w:val="24"/>
        </w:rPr>
        <w:t xml:space="preserve"> </w:t>
      </w:r>
    </w:p>
    <w:tbl>
      <w:tblPr>
        <w:tblpPr w:leftFromText="180" w:rightFromText="180" w:bottomFromText="115" w:vertAnchor="text" w:horzAnchor="margin" w:tblpX="-360" w:tblpY="194"/>
        <w:tblW w:w="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869"/>
        <w:gridCol w:w="870"/>
        <w:gridCol w:w="1108"/>
        <w:gridCol w:w="339"/>
      </w:tblGrid>
      <w:tr w:rsidR="00036C88" w:rsidRPr="00C41C9C" w:rsidTr="00950F55">
        <w:trPr>
          <w:trHeight w:val="432"/>
        </w:trPr>
        <w:tc>
          <w:tcPr>
            <w:tcW w:w="4896" w:type="dxa"/>
            <w:gridSpan w:val="5"/>
            <w:tcBorders>
              <w:top w:val="nil"/>
              <w:left w:val="nil"/>
              <w:bottom w:val="nil"/>
              <w:right w:val="nil"/>
            </w:tcBorders>
            <w:shd w:val="clear" w:color="auto" w:fill="auto"/>
            <w:tcMar>
              <w:top w:w="0" w:type="dxa"/>
              <w:left w:w="108" w:type="dxa"/>
              <w:bottom w:w="0" w:type="dxa"/>
              <w:right w:w="108" w:type="dxa"/>
            </w:tcMar>
            <w:vAlign w:val="center"/>
            <w:hideMark/>
          </w:tcPr>
          <w:p w:rsidR="00036C88" w:rsidRPr="00754FD0" w:rsidRDefault="003121D0" w:rsidP="00036C88">
            <w:pPr>
              <w:spacing w:line="252" w:lineRule="auto"/>
              <w:ind w:left="-108" w:right="85"/>
              <w:rPr>
                <w:rFonts w:ascii="Arial Narrow" w:hAnsi="Arial Narrow"/>
                <w:b/>
                <w:sz w:val="24"/>
                <w:szCs w:val="24"/>
              </w:rPr>
            </w:pPr>
            <w:r>
              <w:rPr>
                <w:rFonts w:ascii="Arial Narrow" w:hAnsi="Arial Narrow"/>
                <w:b/>
                <w:sz w:val="24"/>
                <w:szCs w:val="24"/>
              </w:rPr>
              <w:t>May</w:t>
            </w:r>
            <w:r w:rsidR="00036C88" w:rsidRPr="00754FD0">
              <w:rPr>
                <w:rFonts w:ascii="Arial Narrow" w:hAnsi="Arial Narrow"/>
                <w:b/>
                <w:sz w:val="24"/>
                <w:szCs w:val="24"/>
              </w:rPr>
              <w:t xml:space="preserve"> Sales</w:t>
            </w:r>
          </w:p>
        </w:tc>
      </w:tr>
      <w:tr w:rsidR="00036C88" w:rsidRPr="00C41C9C" w:rsidTr="00807EDC">
        <w:trPr>
          <w:gridAfter w:val="1"/>
          <w:wAfter w:w="339" w:type="dxa"/>
          <w:trHeight w:val="288"/>
        </w:trPr>
        <w:tc>
          <w:tcPr>
            <w:tcW w:w="1710" w:type="dxa"/>
            <w:tcBorders>
              <w:top w:val="nil"/>
              <w:left w:val="nil"/>
              <w:bottom w:val="nil"/>
              <w:right w:val="single" w:sz="12" w:space="0" w:color="FFFFFF"/>
            </w:tcBorders>
            <w:shd w:val="clear" w:color="auto" w:fill="1F4E79" w:themeFill="accent1" w:themeFillShade="80"/>
            <w:vAlign w:val="center"/>
            <w:hideMark/>
          </w:tcPr>
          <w:p w:rsidR="00036C88" w:rsidRPr="00754FD0" w:rsidRDefault="00036C88" w:rsidP="00807EDC">
            <w:pPr>
              <w:ind w:left="175" w:right="100"/>
              <w:rPr>
                <w:b/>
                <w:color w:val="FFFFFF" w:themeColor="background1"/>
              </w:rPr>
            </w:pPr>
            <w:r w:rsidRPr="00754FD0">
              <w:rPr>
                <w:b/>
                <w:color w:val="FFFFFF" w:themeColor="background1"/>
              </w:rPr>
              <w:t>County</w:t>
            </w:r>
          </w:p>
        </w:tc>
        <w:tc>
          <w:tcPr>
            <w:tcW w:w="869"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036C88" w:rsidRPr="00754FD0" w:rsidRDefault="00036C88" w:rsidP="00AF3EAF">
            <w:pPr>
              <w:spacing w:line="207" w:lineRule="atLeast"/>
              <w:ind w:left="44" w:right="62"/>
              <w:rPr>
                <w:color w:val="FFFFFF" w:themeColor="background1"/>
              </w:rPr>
            </w:pPr>
            <w:r w:rsidRPr="00754FD0">
              <w:rPr>
                <w:color w:val="FFFFFF" w:themeColor="background1"/>
              </w:rPr>
              <w:t>201</w:t>
            </w:r>
            <w:r w:rsidR="00AF3EAF">
              <w:rPr>
                <w:color w:val="FFFFFF" w:themeColor="background1"/>
              </w:rPr>
              <w:t>8</w:t>
            </w:r>
          </w:p>
        </w:tc>
        <w:tc>
          <w:tcPr>
            <w:tcW w:w="870"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036C88" w:rsidRPr="00754FD0" w:rsidRDefault="00036C88" w:rsidP="00AF3EAF">
            <w:pPr>
              <w:spacing w:line="207" w:lineRule="atLeast"/>
              <w:ind w:right="-23"/>
              <w:rPr>
                <w:color w:val="FFFFFF" w:themeColor="background1"/>
              </w:rPr>
            </w:pPr>
            <w:r w:rsidRPr="00754FD0">
              <w:rPr>
                <w:color w:val="FFFFFF" w:themeColor="background1"/>
              </w:rPr>
              <w:t>201</w:t>
            </w:r>
            <w:r w:rsidR="00AF3EAF">
              <w:rPr>
                <w:color w:val="FFFFFF" w:themeColor="background1"/>
              </w:rPr>
              <w:t>9</w:t>
            </w:r>
          </w:p>
        </w:tc>
        <w:tc>
          <w:tcPr>
            <w:tcW w:w="1108" w:type="dxa"/>
            <w:tcBorders>
              <w:top w:val="nil"/>
              <w:left w:val="single" w:sz="12" w:space="0" w:color="FFFFFF"/>
              <w:bottom w:val="nil"/>
              <w:right w:val="nil"/>
            </w:tcBorders>
            <w:shd w:val="clear" w:color="auto" w:fill="1F4E79" w:themeFill="accent1" w:themeFillShade="80"/>
            <w:vAlign w:val="center"/>
          </w:tcPr>
          <w:p w:rsidR="00036C88" w:rsidRPr="00754FD0" w:rsidRDefault="00036C88" w:rsidP="00807EDC">
            <w:pPr>
              <w:ind w:left="89" w:right="90"/>
              <w:jc w:val="center"/>
              <w:rPr>
                <w:color w:val="FFFFFF" w:themeColor="background1"/>
              </w:rPr>
            </w:pPr>
            <w:r w:rsidRPr="00754FD0">
              <w:rPr>
                <w:color w:val="FFFFFF" w:themeColor="background1"/>
              </w:rPr>
              <w:t>% Change</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Milwaukee</w:t>
            </w:r>
          </w:p>
        </w:tc>
        <w:tc>
          <w:tcPr>
            <w:tcW w:w="869" w:type="dxa"/>
            <w:tcBorders>
              <w:top w:val="nil"/>
              <w:left w:val="nil"/>
              <w:bottom w:val="nil"/>
              <w:right w:val="nil"/>
            </w:tcBorders>
            <w:shd w:val="clear" w:color="auto" w:fill="auto"/>
            <w:tcMar>
              <w:top w:w="0" w:type="dxa"/>
              <w:left w:w="108" w:type="dxa"/>
              <w:bottom w:w="0" w:type="dxa"/>
              <w:right w:w="108" w:type="dxa"/>
            </w:tcMar>
            <w:vAlign w:val="bottom"/>
          </w:tcPr>
          <w:p w:rsidR="00036C88" w:rsidRPr="00C41C9C" w:rsidRDefault="00291172" w:rsidP="00D30CAD">
            <w:pPr>
              <w:spacing w:line="252" w:lineRule="auto"/>
              <w:ind w:left="44" w:right="62"/>
            </w:pPr>
            <w:r>
              <w:t>1,</w:t>
            </w:r>
            <w:r w:rsidR="00D30CAD">
              <w:t>234</w:t>
            </w:r>
          </w:p>
        </w:tc>
        <w:tc>
          <w:tcPr>
            <w:tcW w:w="870" w:type="dxa"/>
            <w:tcBorders>
              <w:top w:val="nil"/>
              <w:left w:val="nil"/>
              <w:bottom w:val="nil"/>
              <w:right w:val="nil"/>
            </w:tcBorders>
            <w:shd w:val="clear" w:color="auto" w:fill="auto"/>
            <w:tcMar>
              <w:top w:w="0" w:type="dxa"/>
              <w:left w:w="108" w:type="dxa"/>
              <w:bottom w:w="0" w:type="dxa"/>
              <w:right w:w="108" w:type="dxa"/>
            </w:tcMar>
            <w:vAlign w:val="bottom"/>
          </w:tcPr>
          <w:p w:rsidR="00036C88" w:rsidRPr="00C41C9C" w:rsidRDefault="00291172" w:rsidP="00D30CAD">
            <w:pPr>
              <w:spacing w:line="252" w:lineRule="auto"/>
              <w:ind w:right="-23"/>
            </w:pPr>
            <w:r>
              <w:t>1,1</w:t>
            </w:r>
            <w:r w:rsidR="00D30CAD">
              <w:t>94</w:t>
            </w:r>
          </w:p>
        </w:tc>
        <w:tc>
          <w:tcPr>
            <w:tcW w:w="1108" w:type="dxa"/>
            <w:tcBorders>
              <w:top w:val="nil"/>
              <w:left w:val="nil"/>
              <w:bottom w:val="nil"/>
              <w:right w:val="nil"/>
            </w:tcBorders>
            <w:shd w:val="clear" w:color="auto" w:fill="auto"/>
            <w:vAlign w:val="center"/>
          </w:tcPr>
          <w:p w:rsidR="00036C88" w:rsidRPr="00C41C9C" w:rsidRDefault="00291172" w:rsidP="00D30CAD">
            <w:pPr>
              <w:spacing w:line="252" w:lineRule="auto"/>
              <w:ind w:right="445"/>
              <w:jc w:val="right"/>
            </w:pPr>
            <w:r>
              <w:t>-</w:t>
            </w:r>
            <w:r w:rsidR="00D30CAD">
              <w:t>3</w:t>
            </w:r>
            <w:r>
              <w:t>.</w:t>
            </w:r>
            <w:r w:rsidR="00D30CAD">
              <w:t>2</w:t>
            </w:r>
            <w:r w:rsidR="00036C88" w:rsidRPr="00C41C9C">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Waukesha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C41C9C" w:rsidRDefault="00D30CAD" w:rsidP="00E56F12">
            <w:pPr>
              <w:spacing w:line="252" w:lineRule="auto"/>
              <w:ind w:left="44" w:right="62"/>
            </w:pPr>
            <w:r>
              <w:t>542</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C41C9C" w:rsidRDefault="00D30CAD" w:rsidP="00E56F12">
            <w:pPr>
              <w:spacing w:line="252" w:lineRule="auto"/>
              <w:ind w:right="-23"/>
            </w:pPr>
            <w:r>
              <w:t>589</w:t>
            </w:r>
          </w:p>
        </w:tc>
        <w:tc>
          <w:tcPr>
            <w:tcW w:w="1108" w:type="dxa"/>
            <w:tcBorders>
              <w:top w:val="nil"/>
              <w:left w:val="nil"/>
              <w:bottom w:val="nil"/>
              <w:right w:val="nil"/>
            </w:tcBorders>
            <w:shd w:val="clear" w:color="auto" w:fill="DEEAF6" w:themeFill="accent1" w:themeFillTint="33"/>
            <w:vAlign w:val="center"/>
          </w:tcPr>
          <w:p w:rsidR="00036C88" w:rsidRPr="00C41C9C" w:rsidRDefault="00D30CAD" w:rsidP="00D30CAD">
            <w:pPr>
              <w:spacing w:line="252" w:lineRule="auto"/>
              <w:ind w:right="445"/>
              <w:jc w:val="right"/>
            </w:pPr>
            <w:r>
              <w:t>8</w:t>
            </w:r>
            <w:r w:rsidR="00326251">
              <w:t>.</w:t>
            </w:r>
            <w:r>
              <w:t>7</w:t>
            </w:r>
            <w:r w:rsidR="00036C88" w:rsidRPr="00C41C9C">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Washington</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D30CAD" w:rsidP="00036C88">
            <w:pPr>
              <w:spacing w:line="252" w:lineRule="auto"/>
              <w:ind w:left="44" w:right="62"/>
            </w:pPr>
            <w:r>
              <w:t>205</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D30CAD" w:rsidP="00036C88">
            <w:pPr>
              <w:spacing w:line="252" w:lineRule="auto"/>
              <w:ind w:right="-23"/>
            </w:pPr>
            <w:r>
              <w:t>217</w:t>
            </w:r>
          </w:p>
        </w:tc>
        <w:tc>
          <w:tcPr>
            <w:tcW w:w="1108" w:type="dxa"/>
            <w:tcBorders>
              <w:top w:val="nil"/>
              <w:left w:val="nil"/>
              <w:bottom w:val="nil"/>
              <w:right w:val="nil"/>
            </w:tcBorders>
            <w:shd w:val="clear" w:color="auto" w:fill="auto"/>
            <w:vAlign w:val="center"/>
          </w:tcPr>
          <w:p w:rsidR="00036C88" w:rsidRPr="00C41C9C" w:rsidRDefault="00D30CAD" w:rsidP="00D30CAD">
            <w:pPr>
              <w:spacing w:line="252" w:lineRule="auto"/>
              <w:ind w:right="445"/>
              <w:jc w:val="right"/>
            </w:pPr>
            <w:r>
              <w:t>5</w:t>
            </w:r>
            <w:r w:rsidR="00AF3EAF">
              <w:t>.</w:t>
            </w:r>
            <w:r>
              <w:t>9</w:t>
            </w:r>
            <w:r w:rsidR="00036C88" w:rsidRPr="00C41C9C">
              <w:t>%</w:t>
            </w:r>
          </w:p>
        </w:tc>
      </w:tr>
      <w:tr w:rsidR="00036C88" w:rsidRPr="00C41C9C" w:rsidTr="00950F55">
        <w:trPr>
          <w:gridAfter w:val="1"/>
          <w:wAfter w:w="339" w:type="dxa"/>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Ozaukee</w:t>
            </w:r>
          </w:p>
        </w:tc>
        <w:tc>
          <w:tcPr>
            <w:tcW w:w="8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036C88" w:rsidRPr="00C41C9C" w:rsidRDefault="00D30CAD" w:rsidP="00036C88">
            <w:pPr>
              <w:spacing w:line="252" w:lineRule="auto"/>
              <w:ind w:left="44" w:right="62"/>
            </w:pPr>
            <w:r>
              <w:t>140</w:t>
            </w:r>
          </w:p>
        </w:tc>
        <w:tc>
          <w:tcPr>
            <w:tcW w:w="87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036C88" w:rsidRPr="00C41C9C" w:rsidRDefault="00291172" w:rsidP="00D30CAD">
            <w:pPr>
              <w:spacing w:line="252" w:lineRule="auto"/>
              <w:ind w:right="-23"/>
            </w:pPr>
            <w:r>
              <w:t>1</w:t>
            </w:r>
            <w:r w:rsidR="00D30CAD">
              <w:t>36</w:t>
            </w:r>
          </w:p>
        </w:tc>
        <w:tc>
          <w:tcPr>
            <w:tcW w:w="1108" w:type="dxa"/>
            <w:tcBorders>
              <w:top w:val="nil"/>
              <w:left w:val="nil"/>
              <w:bottom w:val="single" w:sz="4" w:space="0" w:color="auto"/>
              <w:right w:val="nil"/>
            </w:tcBorders>
            <w:shd w:val="clear" w:color="auto" w:fill="DEEAF6" w:themeFill="accent1" w:themeFillTint="33"/>
            <w:vAlign w:val="center"/>
          </w:tcPr>
          <w:p w:rsidR="00036C88" w:rsidRPr="00C41C9C" w:rsidRDefault="00291172" w:rsidP="00D30CAD">
            <w:pPr>
              <w:spacing w:line="252" w:lineRule="auto"/>
              <w:ind w:right="445"/>
              <w:jc w:val="right"/>
            </w:pPr>
            <w:r>
              <w:t>-</w:t>
            </w:r>
            <w:r w:rsidR="00D30CAD">
              <w:t>2</w:t>
            </w:r>
            <w:r w:rsidR="00036C88">
              <w:t>.</w:t>
            </w:r>
            <w:r w:rsidR="00D30CAD">
              <w:t>9</w:t>
            </w:r>
            <w:r w:rsidR="00036C88" w:rsidRPr="00C41C9C">
              <w:t>%</w:t>
            </w:r>
          </w:p>
        </w:tc>
      </w:tr>
      <w:tr w:rsidR="00036C88" w:rsidRPr="00C41C9C" w:rsidTr="00950F55">
        <w:trPr>
          <w:gridAfter w:val="1"/>
          <w:wAfter w:w="339" w:type="dxa"/>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4 County Area</w:t>
            </w:r>
          </w:p>
        </w:tc>
        <w:tc>
          <w:tcPr>
            <w:tcW w:w="869"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036C88" w:rsidRPr="00C41C9C" w:rsidRDefault="00D30CAD" w:rsidP="00D30CAD">
            <w:pPr>
              <w:spacing w:line="252" w:lineRule="auto"/>
              <w:ind w:left="44" w:right="62"/>
            </w:pPr>
            <w:r>
              <w:t>2</w:t>
            </w:r>
            <w:r w:rsidR="00036C88">
              <w:t>,</w:t>
            </w:r>
            <w:r>
              <w:t>121</w:t>
            </w:r>
          </w:p>
        </w:tc>
        <w:tc>
          <w:tcPr>
            <w:tcW w:w="87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036C88" w:rsidRPr="00C41C9C" w:rsidRDefault="00D30CAD" w:rsidP="00D30CAD">
            <w:pPr>
              <w:spacing w:line="252" w:lineRule="auto"/>
              <w:ind w:right="-23"/>
            </w:pPr>
            <w:r>
              <w:t>2</w:t>
            </w:r>
            <w:r w:rsidR="00036C88">
              <w:t>,</w:t>
            </w:r>
            <w:r>
              <w:t>136</w:t>
            </w:r>
          </w:p>
        </w:tc>
        <w:tc>
          <w:tcPr>
            <w:tcW w:w="1108" w:type="dxa"/>
            <w:tcBorders>
              <w:top w:val="single" w:sz="4" w:space="0" w:color="auto"/>
              <w:left w:val="nil"/>
              <w:bottom w:val="nil"/>
              <w:right w:val="nil"/>
            </w:tcBorders>
            <w:shd w:val="clear" w:color="auto" w:fill="auto"/>
            <w:vAlign w:val="center"/>
          </w:tcPr>
          <w:p w:rsidR="00036C88" w:rsidRPr="00C41C9C" w:rsidRDefault="00644CAB" w:rsidP="009E7792">
            <w:pPr>
              <w:spacing w:line="252" w:lineRule="auto"/>
              <w:ind w:right="445"/>
              <w:jc w:val="right"/>
            </w:pPr>
            <w:r>
              <w:t>0</w:t>
            </w:r>
            <w:r w:rsidR="00326251">
              <w:t>.</w:t>
            </w:r>
            <w:r w:rsidR="009E7792">
              <w:t>7</w:t>
            </w:r>
            <w:r w:rsidR="00036C88" w:rsidRPr="00C41C9C">
              <w:t>%</w:t>
            </w:r>
          </w:p>
        </w:tc>
      </w:tr>
      <w:tr w:rsidR="00036C88" w:rsidRPr="00C41C9C" w:rsidTr="00950F55">
        <w:trPr>
          <w:gridAfter w:val="1"/>
          <w:wAfter w:w="339" w:type="dxa"/>
          <w:trHeight w:val="179"/>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left="62" w:right="100"/>
              <w:rPr>
                <w:sz w:val="10"/>
                <w:szCs w:val="10"/>
              </w:rPr>
            </w:pP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left="44" w:right="62"/>
              <w:rPr>
                <w:sz w:val="10"/>
                <w:szCs w:val="10"/>
              </w:rPr>
            </w:pP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right="-23"/>
              <w:rPr>
                <w:sz w:val="10"/>
                <w:szCs w:val="10"/>
              </w:rPr>
            </w:pPr>
          </w:p>
        </w:tc>
        <w:tc>
          <w:tcPr>
            <w:tcW w:w="1108" w:type="dxa"/>
            <w:tcBorders>
              <w:top w:val="nil"/>
              <w:left w:val="nil"/>
              <w:bottom w:val="nil"/>
              <w:right w:val="nil"/>
            </w:tcBorders>
            <w:shd w:val="clear" w:color="auto" w:fill="DEEAF6" w:themeFill="accent1" w:themeFillTint="33"/>
            <w:vAlign w:val="center"/>
          </w:tcPr>
          <w:p w:rsidR="00036C88" w:rsidRPr="00156337" w:rsidRDefault="00036C88" w:rsidP="00036C88">
            <w:pPr>
              <w:spacing w:line="252" w:lineRule="auto"/>
              <w:ind w:right="445"/>
              <w:jc w:val="right"/>
              <w:rPr>
                <w:sz w:val="10"/>
                <w:szCs w:val="10"/>
              </w:rPr>
            </w:pP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036C88" w:rsidP="00036C88">
            <w:pPr>
              <w:spacing w:line="252" w:lineRule="auto"/>
              <w:ind w:left="62" w:right="100"/>
            </w:pPr>
            <w:r>
              <w:t>Racine</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036C88" w:rsidRDefault="00D30CAD" w:rsidP="00036C88">
            <w:pPr>
              <w:spacing w:line="252" w:lineRule="auto"/>
              <w:ind w:left="44" w:right="62"/>
            </w:pPr>
            <w:r>
              <w:t>282</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036C88" w:rsidRDefault="00D30CAD" w:rsidP="001B00EC">
            <w:pPr>
              <w:spacing w:line="252" w:lineRule="auto"/>
              <w:ind w:right="-23"/>
            </w:pPr>
            <w:r>
              <w:t>302</w:t>
            </w:r>
          </w:p>
        </w:tc>
        <w:tc>
          <w:tcPr>
            <w:tcW w:w="1108" w:type="dxa"/>
            <w:tcBorders>
              <w:top w:val="nil"/>
              <w:left w:val="nil"/>
              <w:bottom w:val="nil"/>
              <w:right w:val="nil"/>
            </w:tcBorders>
            <w:shd w:val="clear" w:color="auto" w:fill="auto"/>
            <w:vAlign w:val="center"/>
          </w:tcPr>
          <w:p w:rsidR="00036C88" w:rsidRDefault="00D30CAD" w:rsidP="00D30CAD">
            <w:pPr>
              <w:spacing w:line="252" w:lineRule="auto"/>
              <w:ind w:right="445"/>
              <w:jc w:val="right"/>
            </w:pPr>
            <w:r>
              <w:t>7</w:t>
            </w:r>
            <w:r w:rsidR="00291172">
              <w:t>.</w:t>
            </w:r>
            <w:r>
              <w:t>1</w:t>
            </w:r>
            <w:r w:rsidR="00036C88">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036C88" w:rsidP="00036C88">
            <w:pPr>
              <w:spacing w:line="252" w:lineRule="auto"/>
              <w:ind w:left="62" w:right="100"/>
            </w:pPr>
            <w:r>
              <w:t>Kenosha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D30CAD" w:rsidP="00036C88">
            <w:pPr>
              <w:spacing w:line="252" w:lineRule="auto"/>
              <w:ind w:left="44" w:right="62"/>
            </w:pPr>
            <w:r>
              <w:t>242</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D30CAD" w:rsidP="00036C88">
            <w:pPr>
              <w:spacing w:line="252" w:lineRule="auto"/>
              <w:ind w:right="-23"/>
            </w:pPr>
            <w:r>
              <w:t>264</w:t>
            </w:r>
          </w:p>
        </w:tc>
        <w:tc>
          <w:tcPr>
            <w:tcW w:w="1108" w:type="dxa"/>
            <w:tcBorders>
              <w:top w:val="nil"/>
              <w:left w:val="nil"/>
              <w:bottom w:val="nil"/>
              <w:right w:val="nil"/>
            </w:tcBorders>
            <w:shd w:val="clear" w:color="auto" w:fill="DEEAF6" w:themeFill="accent1" w:themeFillTint="33"/>
            <w:vAlign w:val="center"/>
          </w:tcPr>
          <w:p w:rsidR="00036C88" w:rsidRDefault="00D30CAD" w:rsidP="00D30CAD">
            <w:pPr>
              <w:spacing w:line="252" w:lineRule="auto"/>
              <w:ind w:right="445"/>
              <w:jc w:val="right"/>
            </w:pPr>
            <w:r>
              <w:t>9</w:t>
            </w:r>
            <w:r w:rsidR="00326251">
              <w:t>.</w:t>
            </w:r>
            <w:r>
              <w:t>1</w:t>
            </w:r>
            <w:r w:rsidR="00036C88">
              <w:t>%</w:t>
            </w:r>
          </w:p>
        </w:tc>
      </w:tr>
      <w:tr w:rsidR="009F10D6" w:rsidRPr="00C41C9C" w:rsidTr="009F10D6">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9F10D6" w:rsidP="00036C88">
            <w:pPr>
              <w:spacing w:line="252" w:lineRule="auto"/>
              <w:ind w:left="62" w:right="100"/>
            </w:pPr>
            <w:r>
              <w:t>Walworth</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D30CAD" w:rsidP="00036C88">
            <w:pPr>
              <w:spacing w:line="252" w:lineRule="auto"/>
              <w:ind w:left="44" w:right="62"/>
            </w:pPr>
            <w:r>
              <w:t>190</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D30CAD" w:rsidP="00036C88">
            <w:pPr>
              <w:spacing w:line="252" w:lineRule="auto"/>
              <w:ind w:right="-23"/>
            </w:pPr>
            <w:r>
              <w:t>222</w:t>
            </w:r>
          </w:p>
        </w:tc>
        <w:tc>
          <w:tcPr>
            <w:tcW w:w="1108" w:type="dxa"/>
            <w:tcBorders>
              <w:top w:val="nil"/>
              <w:left w:val="nil"/>
              <w:bottom w:val="nil"/>
              <w:right w:val="nil"/>
            </w:tcBorders>
            <w:shd w:val="clear" w:color="auto" w:fill="auto"/>
            <w:vAlign w:val="center"/>
          </w:tcPr>
          <w:p w:rsidR="009F10D6" w:rsidRDefault="00D30CAD" w:rsidP="00D30CAD">
            <w:pPr>
              <w:spacing w:line="252" w:lineRule="auto"/>
              <w:ind w:right="445"/>
              <w:jc w:val="right"/>
            </w:pPr>
            <w:r>
              <w:t>16</w:t>
            </w:r>
            <w:r w:rsidR="00326251">
              <w:t>.</w:t>
            </w:r>
            <w:r>
              <w:t>8</w:t>
            </w:r>
            <w:r w:rsidR="00EC64B4">
              <w:t>%</w:t>
            </w:r>
          </w:p>
        </w:tc>
      </w:tr>
    </w:tbl>
    <w:p w:rsidR="00637D71" w:rsidRDefault="00637D71" w:rsidP="00A66F2A">
      <w:pPr>
        <w:spacing w:before="120" w:after="120"/>
        <w:ind w:right="-360"/>
        <w:contextualSpacing/>
        <w:rPr>
          <w:sz w:val="24"/>
          <w:szCs w:val="24"/>
        </w:rPr>
      </w:pPr>
    </w:p>
    <w:p w:rsidR="003C35B1" w:rsidRDefault="0089092A" w:rsidP="00A25CC3">
      <w:pPr>
        <w:spacing w:before="120" w:after="120"/>
        <w:ind w:left="-360" w:right="-360"/>
        <w:contextualSpacing/>
        <w:rPr>
          <w:sz w:val="24"/>
          <w:szCs w:val="24"/>
        </w:rPr>
      </w:pPr>
      <w:r>
        <w:rPr>
          <w:sz w:val="24"/>
          <w:szCs w:val="24"/>
        </w:rPr>
        <w:t>T</w:t>
      </w:r>
      <w:r w:rsidR="003C35B1">
        <w:rPr>
          <w:sz w:val="24"/>
          <w:szCs w:val="24"/>
        </w:rPr>
        <w:t xml:space="preserve">here is a healthy amount of demand for homes by those seeking them. </w:t>
      </w:r>
      <w:r w:rsidR="003F6C47">
        <w:rPr>
          <w:sz w:val="24"/>
          <w:szCs w:val="24"/>
        </w:rPr>
        <w:t xml:space="preserve">69% </w:t>
      </w:r>
      <w:r>
        <w:rPr>
          <w:sz w:val="24"/>
          <w:szCs w:val="24"/>
        </w:rPr>
        <w:t>of sales occur within 30 days of a home being listed, and most of those</w:t>
      </w:r>
      <w:r w:rsidR="003F6C47">
        <w:rPr>
          <w:sz w:val="24"/>
          <w:szCs w:val="24"/>
        </w:rPr>
        <w:t>, 68%,</w:t>
      </w:r>
      <w:r>
        <w:rPr>
          <w:sz w:val="24"/>
          <w:szCs w:val="24"/>
        </w:rPr>
        <w:t xml:space="preserve"> are </w:t>
      </w:r>
      <w:r w:rsidR="003F6C47">
        <w:rPr>
          <w:sz w:val="24"/>
          <w:szCs w:val="24"/>
        </w:rPr>
        <w:t xml:space="preserve">priced </w:t>
      </w:r>
      <w:r>
        <w:rPr>
          <w:sz w:val="24"/>
          <w:szCs w:val="24"/>
        </w:rPr>
        <w:t>under $300,000.</w:t>
      </w:r>
    </w:p>
    <w:p w:rsidR="0089092A" w:rsidRDefault="0089092A" w:rsidP="00A25CC3">
      <w:pPr>
        <w:spacing w:before="120" w:after="120"/>
        <w:ind w:left="-360" w:right="-360"/>
        <w:contextualSpacing/>
        <w:rPr>
          <w:sz w:val="24"/>
          <w:szCs w:val="24"/>
        </w:rPr>
      </w:pPr>
    </w:p>
    <w:p w:rsidR="0089092A" w:rsidRDefault="0089092A" w:rsidP="00A25CC3">
      <w:pPr>
        <w:spacing w:before="120" w:after="120"/>
        <w:ind w:left="-360" w:right="-360"/>
        <w:contextualSpacing/>
        <w:rPr>
          <w:sz w:val="24"/>
          <w:szCs w:val="24"/>
        </w:rPr>
      </w:pPr>
      <w:r>
        <w:rPr>
          <w:sz w:val="24"/>
          <w:szCs w:val="24"/>
        </w:rPr>
        <w:t>Sales of properties under $300,000 in Milwaukee and Waukesha Counties, the engines of the regional real estate market, were 85% and 50%, respectively, of all sales.</w:t>
      </w:r>
    </w:p>
    <w:p w:rsidR="003C35B1" w:rsidRDefault="003F6C47" w:rsidP="00A25CC3">
      <w:pPr>
        <w:spacing w:before="120" w:after="120"/>
        <w:ind w:left="-360" w:right="-360"/>
        <w:contextualSpacing/>
        <w:rPr>
          <w:sz w:val="24"/>
          <w:szCs w:val="24"/>
        </w:rPr>
      </w:pPr>
      <w:r>
        <w:rPr>
          <w:sz w:val="24"/>
          <w:szCs w:val="24"/>
        </w:rPr>
        <w:t>.</w:t>
      </w:r>
    </w:p>
    <w:p w:rsidR="003F6C47" w:rsidRDefault="003F6C47" w:rsidP="00A25CC3">
      <w:pPr>
        <w:spacing w:before="120" w:after="120"/>
        <w:ind w:left="-360" w:right="-360"/>
        <w:contextualSpacing/>
        <w:rPr>
          <w:sz w:val="24"/>
          <w:szCs w:val="24"/>
        </w:rPr>
      </w:pPr>
      <w:r>
        <w:rPr>
          <w:sz w:val="24"/>
          <w:szCs w:val="24"/>
        </w:rPr>
        <w:t>.</w:t>
      </w:r>
    </w:p>
    <w:p w:rsidR="003F6C47" w:rsidRDefault="003F6C47" w:rsidP="00A25CC3">
      <w:pPr>
        <w:spacing w:before="120" w:after="120"/>
        <w:ind w:left="-360" w:right="-360"/>
        <w:contextualSpacing/>
        <w:rPr>
          <w:sz w:val="24"/>
          <w:szCs w:val="24"/>
        </w:rPr>
      </w:pPr>
      <w:r>
        <w:rPr>
          <w:sz w:val="24"/>
          <w:szCs w:val="24"/>
        </w:rPr>
        <w:t>.</w:t>
      </w:r>
    </w:p>
    <w:p w:rsidR="003F6C47" w:rsidRDefault="003F6C47" w:rsidP="00A25CC3">
      <w:pPr>
        <w:spacing w:before="120" w:after="120"/>
        <w:ind w:left="-360" w:right="-360"/>
        <w:contextualSpacing/>
        <w:rPr>
          <w:sz w:val="24"/>
          <w:szCs w:val="24"/>
        </w:rPr>
      </w:pPr>
      <w:r>
        <w:rPr>
          <w:sz w:val="24"/>
          <w:szCs w:val="24"/>
        </w:rPr>
        <w:t>.</w:t>
      </w:r>
    </w:p>
    <w:tbl>
      <w:tblPr>
        <w:tblpPr w:leftFromText="180" w:rightFromText="180" w:bottomFromText="115" w:vertAnchor="text" w:horzAnchor="margin" w:tblpX="-360" w:tblpY="66"/>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051"/>
        <w:gridCol w:w="1003"/>
        <w:gridCol w:w="1080"/>
      </w:tblGrid>
      <w:tr w:rsidR="003F6C47" w:rsidRPr="00C41C9C" w:rsidTr="00073A04">
        <w:trPr>
          <w:trHeight w:val="504"/>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3F6C47" w:rsidRPr="00754FD0" w:rsidRDefault="003F6C47" w:rsidP="00073A04">
            <w:pPr>
              <w:spacing w:line="252" w:lineRule="auto"/>
              <w:ind w:left="-108" w:right="85"/>
              <w:rPr>
                <w:rFonts w:ascii="Arial Narrow" w:hAnsi="Arial Narrow"/>
                <w:b/>
                <w:sz w:val="24"/>
                <w:szCs w:val="24"/>
              </w:rPr>
            </w:pPr>
            <w:r>
              <w:rPr>
                <w:rFonts w:ascii="Arial Narrow" w:hAnsi="Arial Narrow"/>
                <w:b/>
                <w:sz w:val="24"/>
                <w:szCs w:val="24"/>
              </w:rPr>
              <w:t>October Price Point &amp; Days on Market</w:t>
            </w:r>
          </w:p>
        </w:tc>
      </w:tr>
      <w:tr w:rsidR="003F6C47" w:rsidRPr="00C41C9C" w:rsidTr="00073A04">
        <w:trPr>
          <w:trHeight w:val="288"/>
        </w:trPr>
        <w:tc>
          <w:tcPr>
            <w:tcW w:w="1456" w:type="dxa"/>
            <w:tcBorders>
              <w:top w:val="nil"/>
              <w:left w:val="nil"/>
              <w:bottom w:val="nil"/>
              <w:right w:val="single" w:sz="12" w:space="0" w:color="FFFFFF"/>
            </w:tcBorders>
            <w:shd w:val="clear" w:color="auto" w:fill="1F4E79" w:themeFill="accent1" w:themeFillShade="80"/>
            <w:vAlign w:val="center"/>
            <w:hideMark/>
          </w:tcPr>
          <w:p w:rsidR="003F6C47" w:rsidRPr="00754FD0" w:rsidRDefault="003F6C47" w:rsidP="00073A04">
            <w:pPr>
              <w:ind w:left="175" w:right="100"/>
              <w:rPr>
                <w:b/>
                <w:color w:val="FFFFFF" w:themeColor="background1"/>
              </w:rPr>
            </w:pPr>
            <w:r w:rsidRPr="00754FD0">
              <w:rPr>
                <w:b/>
                <w:color w:val="FFFFFF" w:themeColor="background1"/>
              </w:rPr>
              <w:t>County</w:t>
            </w:r>
          </w:p>
        </w:tc>
        <w:tc>
          <w:tcPr>
            <w:tcW w:w="1051"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3F6C47" w:rsidRPr="00754FD0" w:rsidRDefault="003F6C47" w:rsidP="00073A04">
            <w:pPr>
              <w:spacing w:line="207" w:lineRule="atLeast"/>
              <w:ind w:left="44" w:right="62"/>
              <w:jc w:val="center"/>
              <w:rPr>
                <w:color w:val="FFFFFF" w:themeColor="background1"/>
              </w:rPr>
            </w:pPr>
            <w:r>
              <w:rPr>
                <w:color w:val="FFFFFF" w:themeColor="background1"/>
              </w:rPr>
              <w:t>&lt;$300K</w:t>
            </w:r>
          </w:p>
        </w:tc>
        <w:tc>
          <w:tcPr>
            <w:tcW w:w="1003"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3F6C47" w:rsidRPr="00754FD0" w:rsidRDefault="003F6C47" w:rsidP="00073A04">
            <w:pPr>
              <w:spacing w:line="207" w:lineRule="atLeast"/>
              <w:ind w:right="-23"/>
              <w:jc w:val="center"/>
              <w:rPr>
                <w:color w:val="FFFFFF" w:themeColor="background1"/>
              </w:rPr>
            </w:pPr>
            <w:r>
              <w:rPr>
                <w:color w:val="FFFFFF" w:themeColor="background1"/>
              </w:rPr>
              <w:t>&lt;30 Days</w:t>
            </w:r>
          </w:p>
        </w:tc>
        <w:tc>
          <w:tcPr>
            <w:tcW w:w="1080" w:type="dxa"/>
            <w:tcBorders>
              <w:top w:val="nil"/>
              <w:left w:val="single" w:sz="12" w:space="0" w:color="FFFFFF"/>
              <w:bottom w:val="nil"/>
              <w:right w:val="nil"/>
            </w:tcBorders>
            <w:shd w:val="clear" w:color="auto" w:fill="1F4E79" w:themeFill="accent1" w:themeFillShade="80"/>
            <w:vAlign w:val="center"/>
          </w:tcPr>
          <w:p w:rsidR="003F6C47" w:rsidRPr="00754FD0" w:rsidRDefault="003F6C47" w:rsidP="00073A04">
            <w:pPr>
              <w:ind w:left="89" w:right="90"/>
              <w:jc w:val="center"/>
              <w:rPr>
                <w:color w:val="FFFFFF" w:themeColor="background1"/>
              </w:rPr>
            </w:pPr>
            <w:r>
              <w:rPr>
                <w:color w:val="FFFFFF" w:themeColor="background1"/>
              </w:rPr>
              <w:t>&lt;60 Days</w:t>
            </w:r>
          </w:p>
        </w:tc>
      </w:tr>
      <w:tr w:rsidR="003F6C47" w:rsidRPr="00C41C9C" w:rsidTr="00073A0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rsidR="003F6C47" w:rsidRPr="00C41C9C" w:rsidRDefault="003F6C47" w:rsidP="00073A04">
            <w:pPr>
              <w:spacing w:line="252" w:lineRule="auto"/>
              <w:ind w:left="62" w:right="100"/>
            </w:pPr>
            <w:r w:rsidRPr="00C41C9C">
              <w:t>Milwaukee</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3F6C47" w:rsidRPr="00C41C9C" w:rsidRDefault="003F6C47" w:rsidP="00073A04">
            <w:pPr>
              <w:spacing w:line="252" w:lineRule="auto"/>
              <w:ind w:left="44" w:right="62"/>
              <w:jc w:val="center"/>
            </w:pPr>
            <w:r>
              <w:t>87%</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3F6C47" w:rsidRPr="00C41C9C" w:rsidRDefault="003F6C47" w:rsidP="00073A04">
            <w:pPr>
              <w:spacing w:line="252" w:lineRule="auto"/>
              <w:ind w:right="-23"/>
              <w:jc w:val="center"/>
            </w:pPr>
            <w:r>
              <w:t>58%</w:t>
            </w:r>
          </w:p>
        </w:tc>
        <w:tc>
          <w:tcPr>
            <w:tcW w:w="1080" w:type="dxa"/>
            <w:tcBorders>
              <w:top w:val="nil"/>
              <w:left w:val="nil"/>
              <w:bottom w:val="nil"/>
              <w:right w:val="nil"/>
            </w:tcBorders>
            <w:shd w:val="clear" w:color="auto" w:fill="auto"/>
            <w:vAlign w:val="center"/>
          </w:tcPr>
          <w:p w:rsidR="003F6C47" w:rsidRPr="00C41C9C" w:rsidRDefault="003F6C47" w:rsidP="00073A04">
            <w:pPr>
              <w:spacing w:line="252" w:lineRule="auto"/>
              <w:ind w:right="445"/>
              <w:jc w:val="center"/>
            </w:pPr>
            <w:r>
              <w:t>78%</w:t>
            </w:r>
          </w:p>
        </w:tc>
      </w:tr>
      <w:tr w:rsidR="003F6C47" w:rsidRPr="00C41C9C" w:rsidTr="00073A0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3F6C47" w:rsidRPr="00C41C9C" w:rsidRDefault="003F6C47" w:rsidP="00073A04">
            <w:pPr>
              <w:spacing w:line="252" w:lineRule="auto"/>
              <w:ind w:left="62" w:right="100"/>
            </w:pPr>
            <w:r w:rsidRPr="00C41C9C">
              <w:t>Waukesha</w:t>
            </w:r>
          </w:p>
        </w:tc>
        <w:tc>
          <w:tcPr>
            <w:tcW w:w="105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Pr="00C41C9C" w:rsidRDefault="003F6C47" w:rsidP="00073A04">
            <w:pPr>
              <w:spacing w:line="252" w:lineRule="auto"/>
              <w:ind w:left="44" w:right="62"/>
              <w:jc w:val="center"/>
            </w:pPr>
            <w:r>
              <w:t>58%</w:t>
            </w:r>
          </w:p>
        </w:tc>
        <w:tc>
          <w:tcPr>
            <w:tcW w:w="1003"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Pr="00C41C9C" w:rsidRDefault="003F6C47" w:rsidP="00073A04">
            <w:pPr>
              <w:spacing w:line="252" w:lineRule="auto"/>
              <w:ind w:right="-23"/>
              <w:jc w:val="center"/>
            </w:pPr>
            <w:r>
              <w:t>61%</w:t>
            </w:r>
          </w:p>
        </w:tc>
        <w:tc>
          <w:tcPr>
            <w:tcW w:w="1080" w:type="dxa"/>
            <w:tcBorders>
              <w:top w:val="nil"/>
              <w:left w:val="nil"/>
              <w:bottom w:val="nil"/>
              <w:right w:val="nil"/>
            </w:tcBorders>
            <w:shd w:val="clear" w:color="auto" w:fill="DEEAF6" w:themeFill="accent1" w:themeFillTint="33"/>
            <w:vAlign w:val="center"/>
          </w:tcPr>
          <w:p w:rsidR="003F6C47" w:rsidRPr="00C41C9C" w:rsidRDefault="003F6C47" w:rsidP="00073A04">
            <w:pPr>
              <w:spacing w:line="252" w:lineRule="auto"/>
              <w:ind w:right="445"/>
              <w:jc w:val="center"/>
            </w:pPr>
            <w:r>
              <w:t>82</w:t>
            </w:r>
            <w:r w:rsidRPr="00C41C9C">
              <w:t>%</w:t>
            </w:r>
          </w:p>
        </w:tc>
      </w:tr>
      <w:tr w:rsidR="003F6C47" w:rsidRPr="00C41C9C" w:rsidTr="00073A0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rsidR="003F6C47" w:rsidRPr="00C41C9C" w:rsidRDefault="003F6C47" w:rsidP="00073A04">
            <w:pPr>
              <w:spacing w:line="252" w:lineRule="auto"/>
              <w:ind w:left="62" w:right="100"/>
            </w:pPr>
            <w:r w:rsidRPr="00C41C9C">
              <w:t>Washington</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3F6C47" w:rsidRPr="00C41C9C" w:rsidRDefault="003F6C47" w:rsidP="00073A04">
            <w:pPr>
              <w:spacing w:line="252" w:lineRule="auto"/>
              <w:ind w:left="44" w:right="62"/>
              <w:jc w:val="center"/>
            </w:pPr>
            <w:r>
              <w:t>71%</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3F6C47" w:rsidRPr="00C41C9C" w:rsidRDefault="003F6C47" w:rsidP="00073A04">
            <w:pPr>
              <w:spacing w:line="252" w:lineRule="auto"/>
              <w:ind w:right="-23"/>
              <w:jc w:val="center"/>
            </w:pPr>
            <w:r>
              <w:t>54%</w:t>
            </w:r>
          </w:p>
        </w:tc>
        <w:tc>
          <w:tcPr>
            <w:tcW w:w="1080" w:type="dxa"/>
            <w:tcBorders>
              <w:top w:val="nil"/>
              <w:left w:val="nil"/>
              <w:bottom w:val="nil"/>
              <w:right w:val="nil"/>
            </w:tcBorders>
            <w:shd w:val="clear" w:color="auto" w:fill="auto"/>
            <w:vAlign w:val="center"/>
          </w:tcPr>
          <w:p w:rsidR="003F6C47" w:rsidRPr="00C41C9C" w:rsidRDefault="003F6C47" w:rsidP="00073A04">
            <w:pPr>
              <w:spacing w:line="252" w:lineRule="auto"/>
              <w:ind w:right="445"/>
              <w:jc w:val="center"/>
            </w:pPr>
            <w:r>
              <w:t>79</w:t>
            </w:r>
            <w:r w:rsidRPr="00C41C9C">
              <w:t>%</w:t>
            </w:r>
          </w:p>
        </w:tc>
      </w:tr>
      <w:tr w:rsidR="003F6C47" w:rsidRPr="00C41C9C" w:rsidTr="00073A04">
        <w:trPr>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3F6C47" w:rsidRPr="00C41C9C" w:rsidRDefault="003F6C47" w:rsidP="00073A04">
            <w:pPr>
              <w:spacing w:line="252" w:lineRule="auto"/>
              <w:ind w:left="62" w:right="100"/>
            </w:pPr>
            <w:r w:rsidRPr="00C41C9C">
              <w:t>Ozaukee</w:t>
            </w:r>
          </w:p>
        </w:tc>
        <w:tc>
          <w:tcPr>
            <w:tcW w:w="1051"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3F6C47" w:rsidRPr="00C41C9C" w:rsidRDefault="003F6C47" w:rsidP="00073A04">
            <w:pPr>
              <w:spacing w:line="252" w:lineRule="auto"/>
              <w:ind w:left="44" w:right="62"/>
              <w:jc w:val="center"/>
            </w:pPr>
            <w:r>
              <w:t>49%</w:t>
            </w:r>
          </w:p>
        </w:tc>
        <w:tc>
          <w:tcPr>
            <w:tcW w:w="100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3F6C47" w:rsidRPr="00C41C9C" w:rsidRDefault="003F6C47" w:rsidP="00073A04">
            <w:pPr>
              <w:spacing w:line="252" w:lineRule="auto"/>
              <w:ind w:right="-23"/>
              <w:jc w:val="center"/>
            </w:pPr>
            <w:r>
              <w:t>59%</w:t>
            </w:r>
          </w:p>
        </w:tc>
        <w:tc>
          <w:tcPr>
            <w:tcW w:w="1080" w:type="dxa"/>
            <w:tcBorders>
              <w:top w:val="nil"/>
              <w:left w:val="nil"/>
              <w:bottom w:val="single" w:sz="4" w:space="0" w:color="auto"/>
              <w:right w:val="nil"/>
            </w:tcBorders>
            <w:shd w:val="clear" w:color="auto" w:fill="DEEAF6" w:themeFill="accent1" w:themeFillTint="33"/>
            <w:vAlign w:val="center"/>
          </w:tcPr>
          <w:p w:rsidR="003F6C47" w:rsidRPr="00C41C9C" w:rsidRDefault="003F6C47" w:rsidP="00073A04">
            <w:pPr>
              <w:spacing w:line="252" w:lineRule="auto"/>
              <w:ind w:right="445"/>
              <w:jc w:val="center"/>
            </w:pPr>
            <w:r>
              <w:t>76</w:t>
            </w:r>
            <w:r w:rsidRPr="00C41C9C">
              <w:t>%</w:t>
            </w:r>
          </w:p>
        </w:tc>
      </w:tr>
      <w:tr w:rsidR="003F6C47" w:rsidRPr="00C41C9C" w:rsidTr="00073A04">
        <w:trPr>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3F6C47" w:rsidRPr="00C41C9C" w:rsidRDefault="003F6C47" w:rsidP="00073A04">
            <w:pPr>
              <w:spacing w:line="252" w:lineRule="auto"/>
              <w:ind w:left="62" w:right="100"/>
            </w:pPr>
            <w:r>
              <w:t xml:space="preserve">4 </w:t>
            </w:r>
            <w:proofErr w:type="spellStart"/>
            <w:r>
              <w:t>Cnty</w:t>
            </w:r>
            <w:proofErr w:type="spellEnd"/>
            <w:r>
              <w:t xml:space="preserve"> Area</w:t>
            </w:r>
          </w:p>
        </w:tc>
        <w:tc>
          <w:tcPr>
            <w:tcW w:w="1051"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3F6C47" w:rsidRDefault="003F6C47" w:rsidP="00073A04">
            <w:pPr>
              <w:spacing w:line="252" w:lineRule="auto"/>
              <w:ind w:left="44" w:right="62"/>
              <w:jc w:val="center"/>
            </w:pPr>
            <w:r>
              <w:t>74%</w:t>
            </w:r>
          </w:p>
        </w:tc>
        <w:tc>
          <w:tcPr>
            <w:tcW w:w="1003"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3F6C47" w:rsidRDefault="003F6C47" w:rsidP="00073A04">
            <w:pPr>
              <w:spacing w:line="252" w:lineRule="auto"/>
              <w:ind w:right="-23"/>
              <w:jc w:val="center"/>
            </w:pPr>
            <w:r>
              <w:t>59%</w:t>
            </w:r>
          </w:p>
        </w:tc>
        <w:tc>
          <w:tcPr>
            <w:tcW w:w="1080" w:type="dxa"/>
            <w:tcBorders>
              <w:top w:val="single" w:sz="4" w:space="0" w:color="auto"/>
              <w:left w:val="nil"/>
              <w:bottom w:val="nil"/>
              <w:right w:val="nil"/>
            </w:tcBorders>
            <w:shd w:val="clear" w:color="auto" w:fill="auto"/>
            <w:vAlign w:val="center"/>
          </w:tcPr>
          <w:p w:rsidR="003F6C47" w:rsidRDefault="003F6C47" w:rsidP="00073A04">
            <w:pPr>
              <w:spacing w:line="252" w:lineRule="auto"/>
              <w:ind w:right="445"/>
              <w:jc w:val="center"/>
            </w:pPr>
            <w:r>
              <w:t>79%</w:t>
            </w:r>
          </w:p>
        </w:tc>
      </w:tr>
      <w:tr w:rsidR="003F6C47" w:rsidRPr="00C41C9C" w:rsidTr="00073A04">
        <w:trPr>
          <w:trHeight w:val="16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Pr="007D0F9B" w:rsidRDefault="003F6C47" w:rsidP="00073A04">
            <w:pPr>
              <w:spacing w:line="252" w:lineRule="auto"/>
              <w:ind w:left="62" w:right="100"/>
              <w:rPr>
                <w:sz w:val="10"/>
                <w:szCs w:val="10"/>
              </w:rPr>
            </w:pPr>
          </w:p>
        </w:tc>
        <w:tc>
          <w:tcPr>
            <w:tcW w:w="105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Pr="007D0F9B" w:rsidRDefault="003F6C47" w:rsidP="00073A04">
            <w:pPr>
              <w:spacing w:line="252" w:lineRule="auto"/>
              <w:ind w:left="44" w:right="62"/>
              <w:jc w:val="center"/>
              <w:rPr>
                <w:sz w:val="10"/>
                <w:szCs w:val="10"/>
              </w:rPr>
            </w:pPr>
          </w:p>
        </w:tc>
        <w:tc>
          <w:tcPr>
            <w:tcW w:w="1003"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Pr="007D0F9B" w:rsidRDefault="003F6C47" w:rsidP="00073A04">
            <w:pPr>
              <w:spacing w:line="252" w:lineRule="auto"/>
              <w:ind w:right="-23"/>
              <w:jc w:val="center"/>
              <w:rPr>
                <w:sz w:val="10"/>
                <w:szCs w:val="10"/>
              </w:rPr>
            </w:pPr>
          </w:p>
        </w:tc>
        <w:tc>
          <w:tcPr>
            <w:tcW w:w="1080" w:type="dxa"/>
            <w:tcBorders>
              <w:top w:val="nil"/>
              <w:left w:val="nil"/>
              <w:bottom w:val="nil"/>
              <w:right w:val="nil"/>
            </w:tcBorders>
            <w:shd w:val="clear" w:color="auto" w:fill="DEEAF6" w:themeFill="accent1" w:themeFillTint="33"/>
            <w:vAlign w:val="center"/>
          </w:tcPr>
          <w:p w:rsidR="003F6C47" w:rsidRPr="007D0F9B" w:rsidRDefault="003F6C47" w:rsidP="00073A04">
            <w:pPr>
              <w:spacing w:line="252" w:lineRule="auto"/>
              <w:ind w:right="445"/>
              <w:rPr>
                <w:sz w:val="10"/>
                <w:szCs w:val="10"/>
              </w:rPr>
            </w:pPr>
          </w:p>
        </w:tc>
      </w:tr>
      <w:tr w:rsidR="003F6C47" w:rsidRPr="00C41C9C" w:rsidTr="00073A0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rsidR="003F6C47" w:rsidRPr="00C41C9C" w:rsidRDefault="003F6C47" w:rsidP="00073A04">
            <w:pPr>
              <w:spacing w:line="252" w:lineRule="auto"/>
              <w:ind w:left="62" w:right="100"/>
            </w:pPr>
            <w:r>
              <w:lastRenderedPageBreak/>
              <w:t>Racine</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3F6C47" w:rsidRDefault="003F6C47" w:rsidP="00073A04">
            <w:pPr>
              <w:spacing w:line="252" w:lineRule="auto"/>
              <w:ind w:left="44" w:right="62"/>
              <w:jc w:val="center"/>
            </w:pPr>
            <w:r>
              <w:t>82%</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3F6C47" w:rsidRDefault="003F6C47" w:rsidP="00073A04">
            <w:pPr>
              <w:spacing w:line="252" w:lineRule="auto"/>
              <w:ind w:right="-23"/>
              <w:jc w:val="center"/>
            </w:pPr>
            <w:r>
              <w:t>57%</w:t>
            </w:r>
          </w:p>
        </w:tc>
        <w:tc>
          <w:tcPr>
            <w:tcW w:w="1080" w:type="dxa"/>
            <w:tcBorders>
              <w:top w:val="nil"/>
              <w:left w:val="nil"/>
              <w:bottom w:val="nil"/>
              <w:right w:val="nil"/>
            </w:tcBorders>
            <w:shd w:val="clear" w:color="auto" w:fill="auto"/>
            <w:vAlign w:val="center"/>
          </w:tcPr>
          <w:p w:rsidR="003F6C47" w:rsidRDefault="003F6C47" w:rsidP="00073A04">
            <w:pPr>
              <w:spacing w:line="252" w:lineRule="auto"/>
              <w:ind w:right="445"/>
              <w:jc w:val="center"/>
            </w:pPr>
            <w:r>
              <w:t>81%</w:t>
            </w:r>
          </w:p>
        </w:tc>
      </w:tr>
      <w:tr w:rsidR="003F6C47" w:rsidRPr="00C41C9C" w:rsidTr="00073A0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Default="003F6C47" w:rsidP="00073A04">
            <w:pPr>
              <w:spacing w:line="252" w:lineRule="auto"/>
              <w:ind w:left="62" w:right="100"/>
            </w:pPr>
            <w:r>
              <w:t>Kenosha</w:t>
            </w:r>
          </w:p>
        </w:tc>
        <w:tc>
          <w:tcPr>
            <w:tcW w:w="105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Default="003F6C47" w:rsidP="00073A04">
            <w:pPr>
              <w:spacing w:line="252" w:lineRule="auto"/>
              <w:ind w:left="44" w:right="62"/>
              <w:jc w:val="center"/>
            </w:pPr>
            <w:r>
              <w:t>82%</w:t>
            </w:r>
          </w:p>
        </w:tc>
        <w:tc>
          <w:tcPr>
            <w:tcW w:w="1003"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3F6C47" w:rsidRDefault="003F6C47" w:rsidP="00073A04">
            <w:pPr>
              <w:spacing w:line="252" w:lineRule="auto"/>
              <w:ind w:right="-23"/>
              <w:jc w:val="center"/>
            </w:pPr>
            <w:r>
              <w:t>66%</w:t>
            </w:r>
          </w:p>
        </w:tc>
        <w:tc>
          <w:tcPr>
            <w:tcW w:w="1080" w:type="dxa"/>
            <w:tcBorders>
              <w:top w:val="nil"/>
              <w:left w:val="nil"/>
              <w:bottom w:val="nil"/>
              <w:right w:val="nil"/>
            </w:tcBorders>
            <w:shd w:val="clear" w:color="auto" w:fill="DEEAF6" w:themeFill="accent1" w:themeFillTint="33"/>
            <w:vAlign w:val="center"/>
          </w:tcPr>
          <w:p w:rsidR="003F6C47" w:rsidRDefault="003F6C47" w:rsidP="00073A04">
            <w:pPr>
              <w:spacing w:line="252" w:lineRule="auto"/>
              <w:ind w:right="445"/>
              <w:jc w:val="center"/>
            </w:pPr>
            <w:r>
              <w:t>85%</w:t>
            </w:r>
          </w:p>
        </w:tc>
      </w:tr>
      <w:tr w:rsidR="003F6C47" w:rsidRPr="00C41C9C" w:rsidTr="00073A0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rsidR="003F6C47" w:rsidRDefault="003F6C47" w:rsidP="00073A04">
            <w:pPr>
              <w:spacing w:line="252" w:lineRule="auto"/>
              <w:ind w:left="62" w:right="100"/>
            </w:pPr>
            <w:r>
              <w:t>Walworth</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3F6C47" w:rsidRDefault="003F6C47" w:rsidP="00073A04">
            <w:pPr>
              <w:spacing w:line="252" w:lineRule="auto"/>
              <w:ind w:left="44" w:right="62"/>
              <w:jc w:val="center"/>
            </w:pPr>
            <w:r>
              <w:t>65%</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3F6C47" w:rsidRDefault="003F6C47" w:rsidP="00073A04">
            <w:pPr>
              <w:spacing w:line="252" w:lineRule="auto"/>
              <w:ind w:right="-23"/>
              <w:jc w:val="center"/>
            </w:pPr>
            <w:r>
              <w:t>38%</w:t>
            </w:r>
          </w:p>
        </w:tc>
        <w:tc>
          <w:tcPr>
            <w:tcW w:w="1080" w:type="dxa"/>
            <w:tcBorders>
              <w:top w:val="nil"/>
              <w:left w:val="nil"/>
              <w:bottom w:val="nil"/>
              <w:right w:val="nil"/>
            </w:tcBorders>
            <w:shd w:val="clear" w:color="auto" w:fill="auto"/>
            <w:vAlign w:val="center"/>
          </w:tcPr>
          <w:p w:rsidR="003F6C47" w:rsidRDefault="003F6C47" w:rsidP="00073A04">
            <w:pPr>
              <w:spacing w:line="252" w:lineRule="auto"/>
              <w:ind w:right="445"/>
              <w:jc w:val="center"/>
            </w:pPr>
            <w:r>
              <w:t>57%</w:t>
            </w:r>
          </w:p>
        </w:tc>
      </w:tr>
    </w:tbl>
    <w:p w:rsidR="003F6C47" w:rsidRDefault="003F6C47" w:rsidP="00A25CC3">
      <w:pPr>
        <w:spacing w:before="120" w:after="120"/>
        <w:ind w:left="-360" w:right="-360"/>
        <w:contextualSpacing/>
        <w:rPr>
          <w:sz w:val="24"/>
          <w:szCs w:val="24"/>
        </w:rPr>
      </w:pPr>
      <w:bookmarkStart w:id="1" w:name="_GoBack"/>
      <w:bookmarkEnd w:id="1"/>
    </w:p>
    <w:p w:rsidR="009F10D6" w:rsidRDefault="009F10D6" w:rsidP="00A25CC3">
      <w:pPr>
        <w:spacing w:before="120" w:after="120"/>
        <w:ind w:left="-360" w:right="-360"/>
        <w:contextualSpacing/>
        <w:rPr>
          <w:sz w:val="24"/>
          <w:szCs w:val="24"/>
        </w:rPr>
      </w:pPr>
    </w:p>
    <w:p w:rsidR="009F10D6" w:rsidRDefault="009F10D6" w:rsidP="00ED577D">
      <w:pPr>
        <w:spacing w:before="120" w:after="120"/>
        <w:ind w:left="-360" w:right="-360"/>
        <w:contextualSpacing/>
        <w:rPr>
          <w:sz w:val="24"/>
          <w:szCs w:val="24"/>
        </w:rPr>
      </w:pPr>
    </w:p>
    <w:p w:rsidR="00AF3EAF" w:rsidRDefault="00156337" w:rsidP="00AF3EAF">
      <w:pPr>
        <w:spacing w:before="120" w:after="120"/>
        <w:ind w:left="-360" w:right="-360"/>
        <w:contextualSpacing/>
        <w:rPr>
          <w:sz w:val="24"/>
          <w:szCs w:val="24"/>
        </w:rPr>
      </w:pPr>
      <w:r w:rsidRPr="00156337">
        <w:rPr>
          <w:b/>
          <w:sz w:val="24"/>
          <w:szCs w:val="24"/>
          <w:u w:val="single"/>
        </w:rPr>
        <w:t>Listings</w:t>
      </w:r>
      <w:r w:rsidR="00AF3EAF" w:rsidRPr="00AF3EAF">
        <w:rPr>
          <w:sz w:val="24"/>
          <w:szCs w:val="24"/>
        </w:rPr>
        <w:t xml:space="preserve"> </w:t>
      </w:r>
    </w:p>
    <w:p w:rsidR="001347B5" w:rsidRDefault="003C35B1" w:rsidP="00AF3EAF">
      <w:pPr>
        <w:spacing w:before="120" w:after="120"/>
        <w:ind w:left="-360" w:right="-360"/>
        <w:contextualSpacing/>
        <w:rPr>
          <w:sz w:val="24"/>
          <w:szCs w:val="24"/>
        </w:rPr>
      </w:pPr>
      <w:r>
        <w:rPr>
          <w:sz w:val="24"/>
          <w:szCs w:val="24"/>
        </w:rPr>
        <w:t xml:space="preserve">Many homes listed in </w:t>
      </w:r>
      <w:r w:rsidR="003121D0">
        <w:rPr>
          <w:sz w:val="24"/>
          <w:szCs w:val="24"/>
        </w:rPr>
        <w:t>May</w:t>
      </w:r>
      <w:r>
        <w:rPr>
          <w:sz w:val="24"/>
          <w:szCs w:val="24"/>
        </w:rPr>
        <w:t xml:space="preserve"> will become sales in Ma</w:t>
      </w:r>
      <w:r w:rsidR="00D11FFF">
        <w:rPr>
          <w:sz w:val="24"/>
          <w:szCs w:val="24"/>
        </w:rPr>
        <w:t>y and June</w:t>
      </w:r>
      <w:r>
        <w:rPr>
          <w:sz w:val="24"/>
          <w:szCs w:val="24"/>
        </w:rPr>
        <w:t xml:space="preserve">. </w:t>
      </w:r>
      <w:r w:rsidR="00063605">
        <w:rPr>
          <w:sz w:val="24"/>
          <w:szCs w:val="24"/>
        </w:rPr>
        <w:t xml:space="preserve">The fact that listings were </w:t>
      </w:r>
      <w:r w:rsidR="00D11FFF">
        <w:rPr>
          <w:sz w:val="24"/>
          <w:szCs w:val="24"/>
        </w:rPr>
        <w:t xml:space="preserve">up </w:t>
      </w:r>
      <w:r w:rsidR="002B0C16">
        <w:rPr>
          <w:sz w:val="24"/>
          <w:szCs w:val="24"/>
        </w:rPr>
        <w:t xml:space="preserve">in </w:t>
      </w:r>
      <w:r w:rsidR="003121D0">
        <w:rPr>
          <w:sz w:val="24"/>
          <w:szCs w:val="24"/>
        </w:rPr>
        <w:t>May</w:t>
      </w:r>
      <w:r w:rsidR="002B0C16">
        <w:rPr>
          <w:sz w:val="24"/>
          <w:szCs w:val="24"/>
        </w:rPr>
        <w:t xml:space="preserve"> </w:t>
      </w:r>
      <w:r w:rsidR="00D11FFF">
        <w:rPr>
          <w:sz w:val="24"/>
          <w:szCs w:val="24"/>
        </w:rPr>
        <w:t>is good news for potential buyers</w:t>
      </w:r>
      <w:r w:rsidR="00F1598A">
        <w:rPr>
          <w:sz w:val="24"/>
          <w:szCs w:val="24"/>
        </w:rPr>
        <w:t xml:space="preserve"> (</w:t>
      </w:r>
      <w:r w:rsidR="00D11FFF">
        <w:rPr>
          <w:sz w:val="24"/>
          <w:szCs w:val="24"/>
        </w:rPr>
        <w:t xml:space="preserve">But, that doesn’t mean </w:t>
      </w:r>
      <w:r w:rsidR="00F1598A">
        <w:rPr>
          <w:sz w:val="24"/>
          <w:szCs w:val="24"/>
        </w:rPr>
        <w:t>they</w:t>
      </w:r>
      <w:r w:rsidR="00D11FFF">
        <w:rPr>
          <w:sz w:val="24"/>
          <w:szCs w:val="24"/>
        </w:rPr>
        <w:t xml:space="preserve"> have time to dawdle</w:t>
      </w:r>
      <w:r w:rsidR="00F1598A">
        <w:rPr>
          <w:sz w:val="24"/>
          <w:szCs w:val="24"/>
        </w:rPr>
        <w:t>)</w:t>
      </w:r>
      <w:r w:rsidR="00D11FFF">
        <w:rPr>
          <w:sz w:val="24"/>
          <w:szCs w:val="24"/>
        </w:rPr>
        <w:t xml:space="preserve">. </w:t>
      </w:r>
    </w:p>
    <w:p w:rsidR="00063605" w:rsidRDefault="00063605" w:rsidP="00AF3EAF">
      <w:pPr>
        <w:spacing w:before="120" w:after="120"/>
        <w:ind w:left="-360" w:right="-360"/>
        <w:contextualSpacing/>
        <w:rPr>
          <w:sz w:val="24"/>
          <w:szCs w:val="24"/>
        </w:rPr>
      </w:pPr>
    </w:p>
    <w:p w:rsidR="00063605" w:rsidRDefault="003121D0" w:rsidP="00AF3EAF">
      <w:pPr>
        <w:spacing w:before="120" w:after="120"/>
        <w:ind w:left="-360" w:right="-360"/>
        <w:contextualSpacing/>
        <w:rPr>
          <w:sz w:val="24"/>
          <w:szCs w:val="24"/>
        </w:rPr>
      </w:pPr>
      <w:r>
        <w:rPr>
          <w:sz w:val="24"/>
          <w:szCs w:val="24"/>
        </w:rPr>
        <w:t>May</w:t>
      </w:r>
      <w:r w:rsidR="00D11FFF">
        <w:rPr>
          <w:sz w:val="24"/>
          <w:szCs w:val="24"/>
        </w:rPr>
        <w:t xml:space="preserve">’s 2,617 listings were the </w:t>
      </w:r>
      <w:r w:rsidR="002B0C16">
        <w:rPr>
          <w:sz w:val="24"/>
          <w:szCs w:val="24"/>
        </w:rPr>
        <w:t xml:space="preserve">highest number of </w:t>
      </w:r>
      <w:r w:rsidR="00D11FFF">
        <w:rPr>
          <w:sz w:val="24"/>
          <w:szCs w:val="24"/>
        </w:rPr>
        <w:t xml:space="preserve">listings in </w:t>
      </w:r>
      <w:r w:rsidR="002B0C16">
        <w:rPr>
          <w:sz w:val="24"/>
          <w:szCs w:val="24"/>
        </w:rPr>
        <w:t xml:space="preserve">any </w:t>
      </w:r>
      <w:r>
        <w:rPr>
          <w:sz w:val="24"/>
          <w:szCs w:val="24"/>
        </w:rPr>
        <w:t>May</w:t>
      </w:r>
      <w:r w:rsidR="00D11FFF">
        <w:rPr>
          <w:sz w:val="24"/>
          <w:szCs w:val="24"/>
        </w:rPr>
        <w:t xml:space="preserve"> since 2015 (3,085)</w:t>
      </w:r>
      <w:r w:rsidR="00063605">
        <w:rPr>
          <w:sz w:val="24"/>
          <w:szCs w:val="24"/>
        </w:rPr>
        <w:t>.</w:t>
      </w:r>
      <w:r w:rsidR="00D11FFF">
        <w:rPr>
          <w:sz w:val="24"/>
          <w:szCs w:val="24"/>
        </w:rPr>
        <w:t xml:space="preserve"> In fact, during the 48 months since </w:t>
      </w:r>
      <w:r>
        <w:rPr>
          <w:sz w:val="24"/>
          <w:szCs w:val="24"/>
        </w:rPr>
        <w:t>May</w:t>
      </w:r>
      <w:r w:rsidR="00D11FFF">
        <w:rPr>
          <w:sz w:val="24"/>
          <w:szCs w:val="24"/>
        </w:rPr>
        <w:t xml:space="preserve"> 2015, there have only been 16 months in positive listing territory, 33% of the time. </w:t>
      </w:r>
    </w:p>
    <w:p w:rsidR="00F1598A" w:rsidRDefault="00F1598A" w:rsidP="00AF3EAF">
      <w:pPr>
        <w:spacing w:before="120" w:after="120"/>
        <w:ind w:left="-360" w:right="-360"/>
        <w:contextualSpacing/>
        <w:rPr>
          <w:sz w:val="24"/>
          <w:szCs w:val="24"/>
        </w:rPr>
      </w:pPr>
    </w:p>
    <w:p w:rsidR="000D45BC" w:rsidRDefault="00F1598A" w:rsidP="002B0C16">
      <w:pPr>
        <w:spacing w:before="120" w:after="120"/>
        <w:ind w:left="-360" w:right="-360"/>
        <w:contextualSpacing/>
        <w:rPr>
          <w:sz w:val="24"/>
          <w:szCs w:val="24"/>
        </w:rPr>
      </w:pPr>
      <w:r>
        <w:rPr>
          <w:sz w:val="24"/>
          <w:szCs w:val="24"/>
        </w:rPr>
        <w:t xml:space="preserve">The metropolitan market could use an additional 4,155 listings, </w:t>
      </w:r>
      <w:r w:rsidR="00487AC4">
        <w:rPr>
          <w:sz w:val="24"/>
          <w:szCs w:val="24"/>
        </w:rPr>
        <w:t xml:space="preserve">at least half under $300,000, </w:t>
      </w:r>
      <w:r>
        <w:rPr>
          <w:sz w:val="24"/>
          <w:szCs w:val="24"/>
        </w:rPr>
        <w:t xml:space="preserve">to come close to satisfying current demand. </w:t>
      </w:r>
      <w:r w:rsidR="00487AC4">
        <w:rPr>
          <w:sz w:val="24"/>
          <w:szCs w:val="24"/>
        </w:rPr>
        <w:t>T</w:t>
      </w:r>
      <w:r>
        <w:rPr>
          <w:sz w:val="24"/>
          <w:szCs w:val="24"/>
        </w:rPr>
        <w:t>hat’s on top of the 5,982 listings currently in MLS</w:t>
      </w:r>
      <w:r w:rsidR="00487AC4">
        <w:rPr>
          <w:sz w:val="24"/>
          <w:szCs w:val="24"/>
        </w:rPr>
        <w:t>.</w:t>
      </w:r>
      <w:r>
        <w:rPr>
          <w:sz w:val="24"/>
          <w:szCs w:val="24"/>
        </w:rPr>
        <w:t xml:space="preserve"> </w:t>
      </w:r>
    </w:p>
    <w:tbl>
      <w:tblPr>
        <w:tblpPr w:leftFromText="180" w:rightFromText="180" w:bottomFromText="115" w:vertAnchor="text" w:horzAnchor="margin" w:tblpX="-360" w:tblpY="555"/>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900"/>
        <w:gridCol w:w="810"/>
        <w:gridCol w:w="1170"/>
      </w:tblGrid>
      <w:tr w:rsidR="005D6EC3" w:rsidRPr="00C41C9C" w:rsidTr="00807EDC">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5D6EC3" w:rsidRPr="00754FD0" w:rsidRDefault="003121D0" w:rsidP="00950F55">
            <w:pPr>
              <w:spacing w:line="252" w:lineRule="auto"/>
              <w:ind w:left="-108" w:right="85"/>
              <w:rPr>
                <w:rFonts w:ascii="Arial Narrow" w:hAnsi="Arial Narrow"/>
                <w:b/>
                <w:sz w:val="24"/>
                <w:szCs w:val="24"/>
              </w:rPr>
            </w:pPr>
            <w:r>
              <w:rPr>
                <w:rFonts w:ascii="Arial Narrow" w:hAnsi="Arial Narrow"/>
                <w:b/>
                <w:sz w:val="24"/>
                <w:szCs w:val="24"/>
              </w:rPr>
              <w:t>May</w:t>
            </w:r>
            <w:r w:rsidR="005D6EC3" w:rsidRPr="00754FD0">
              <w:rPr>
                <w:rFonts w:ascii="Arial Narrow" w:hAnsi="Arial Narrow"/>
                <w:b/>
                <w:sz w:val="24"/>
                <w:szCs w:val="24"/>
              </w:rPr>
              <w:t xml:space="preserve"> </w:t>
            </w:r>
            <w:r w:rsidR="005D6EC3">
              <w:rPr>
                <w:rFonts w:ascii="Arial Narrow" w:hAnsi="Arial Narrow"/>
                <w:b/>
                <w:sz w:val="24"/>
                <w:szCs w:val="24"/>
              </w:rPr>
              <w:t>Listings</w:t>
            </w:r>
          </w:p>
        </w:tc>
      </w:tr>
      <w:tr w:rsidR="005D6EC3" w:rsidRPr="00C41C9C" w:rsidTr="00807EDC">
        <w:trPr>
          <w:trHeight w:val="288"/>
        </w:trPr>
        <w:tc>
          <w:tcPr>
            <w:tcW w:w="171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rsidR="005D6EC3" w:rsidRPr="00754FD0" w:rsidRDefault="005D6EC3" w:rsidP="00807EDC">
            <w:pPr>
              <w:ind w:left="175" w:right="100"/>
              <w:rPr>
                <w:b/>
                <w:color w:val="FFFFFF" w:themeColor="background1"/>
              </w:rPr>
            </w:pPr>
            <w:r w:rsidRPr="00754FD0">
              <w:rPr>
                <w:b/>
                <w:color w:val="FFFFFF" w:themeColor="background1"/>
              </w:rPr>
              <w:t>County</w:t>
            </w:r>
          </w:p>
        </w:tc>
        <w:tc>
          <w:tcPr>
            <w:tcW w:w="9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5D6EC3" w:rsidRPr="00754FD0" w:rsidRDefault="005D6EC3" w:rsidP="00AF3EAF">
            <w:pPr>
              <w:spacing w:line="207" w:lineRule="atLeast"/>
              <w:ind w:left="44" w:right="62"/>
              <w:rPr>
                <w:color w:val="FFFFFF" w:themeColor="background1"/>
              </w:rPr>
            </w:pPr>
            <w:r w:rsidRPr="00754FD0">
              <w:rPr>
                <w:color w:val="FFFFFF" w:themeColor="background1"/>
              </w:rPr>
              <w:t>201</w:t>
            </w:r>
            <w:r w:rsidR="00AF3EAF">
              <w:rPr>
                <w:color w:val="FFFFFF" w:themeColor="background1"/>
              </w:rPr>
              <w:t>8</w:t>
            </w:r>
          </w:p>
        </w:tc>
        <w:tc>
          <w:tcPr>
            <w:tcW w:w="8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5D6EC3" w:rsidRPr="00754FD0" w:rsidRDefault="005D6EC3" w:rsidP="00AF3EAF">
            <w:pPr>
              <w:spacing w:line="207" w:lineRule="atLeast"/>
              <w:ind w:right="-23"/>
              <w:rPr>
                <w:color w:val="FFFFFF" w:themeColor="background1"/>
              </w:rPr>
            </w:pPr>
            <w:r w:rsidRPr="00754FD0">
              <w:rPr>
                <w:color w:val="FFFFFF" w:themeColor="background1"/>
              </w:rPr>
              <w:t>201</w:t>
            </w:r>
            <w:r w:rsidR="00AF3EAF">
              <w:rPr>
                <w:color w:val="FFFFFF" w:themeColor="background1"/>
              </w:rPr>
              <w:t>9</w:t>
            </w:r>
          </w:p>
        </w:tc>
        <w:tc>
          <w:tcPr>
            <w:tcW w:w="1170"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rsidR="005D6EC3" w:rsidRPr="00754FD0" w:rsidRDefault="005D6EC3" w:rsidP="00807EDC">
            <w:pPr>
              <w:ind w:left="89" w:right="90"/>
              <w:jc w:val="center"/>
              <w:rPr>
                <w:color w:val="FFFFFF" w:themeColor="background1"/>
              </w:rPr>
            </w:pPr>
            <w:r w:rsidRPr="00754FD0">
              <w:rPr>
                <w:color w:val="FFFFFF" w:themeColor="background1"/>
              </w:rPr>
              <w:t>% Change</w:t>
            </w: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Milwaukee</w:t>
            </w:r>
          </w:p>
        </w:tc>
        <w:tc>
          <w:tcPr>
            <w:tcW w:w="900" w:type="dxa"/>
            <w:tcBorders>
              <w:top w:val="nil"/>
              <w:left w:val="nil"/>
              <w:bottom w:val="nil"/>
              <w:right w:val="nil"/>
            </w:tcBorders>
            <w:shd w:val="clear" w:color="auto" w:fill="auto"/>
            <w:tcMar>
              <w:top w:w="0" w:type="dxa"/>
              <w:left w:w="108" w:type="dxa"/>
              <w:bottom w:w="0" w:type="dxa"/>
              <w:right w:w="108" w:type="dxa"/>
            </w:tcMar>
            <w:vAlign w:val="bottom"/>
          </w:tcPr>
          <w:p w:rsidR="005D6EC3" w:rsidRPr="00C41C9C" w:rsidRDefault="00D30CAD" w:rsidP="00D30CAD">
            <w:pPr>
              <w:spacing w:line="252" w:lineRule="auto"/>
              <w:ind w:left="44" w:right="62"/>
            </w:pPr>
            <w:r>
              <w:t>1,665</w:t>
            </w:r>
          </w:p>
        </w:tc>
        <w:tc>
          <w:tcPr>
            <w:tcW w:w="810" w:type="dxa"/>
            <w:tcBorders>
              <w:top w:val="nil"/>
              <w:left w:val="nil"/>
              <w:bottom w:val="nil"/>
              <w:right w:val="nil"/>
            </w:tcBorders>
            <w:shd w:val="clear" w:color="auto" w:fill="auto"/>
            <w:tcMar>
              <w:top w:w="0" w:type="dxa"/>
              <w:left w:w="108" w:type="dxa"/>
              <w:bottom w:w="0" w:type="dxa"/>
              <w:right w:w="108" w:type="dxa"/>
            </w:tcMar>
            <w:vAlign w:val="bottom"/>
          </w:tcPr>
          <w:p w:rsidR="005D6EC3" w:rsidRPr="00C41C9C" w:rsidRDefault="009E7792" w:rsidP="00D30CAD">
            <w:pPr>
              <w:spacing w:line="252" w:lineRule="auto"/>
              <w:ind w:right="-23"/>
            </w:pPr>
            <w:r>
              <w:t>1,</w:t>
            </w:r>
            <w:r w:rsidR="00D30CAD">
              <w:t>564</w:t>
            </w:r>
          </w:p>
        </w:tc>
        <w:tc>
          <w:tcPr>
            <w:tcW w:w="1170" w:type="dxa"/>
            <w:tcBorders>
              <w:top w:val="nil"/>
              <w:left w:val="nil"/>
              <w:bottom w:val="nil"/>
              <w:right w:val="nil"/>
            </w:tcBorders>
            <w:shd w:val="clear" w:color="auto" w:fill="auto"/>
            <w:vAlign w:val="center"/>
          </w:tcPr>
          <w:p w:rsidR="005D6EC3" w:rsidRPr="00C41C9C" w:rsidRDefault="00D30CAD" w:rsidP="00D30CAD">
            <w:pPr>
              <w:spacing w:line="252" w:lineRule="auto"/>
              <w:ind w:left="95" w:right="445"/>
              <w:jc w:val="right"/>
            </w:pPr>
            <w:r>
              <w:t>-6</w:t>
            </w:r>
            <w:r w:rsidR="000D45BC">
              <w:t>.</w:t>
            </w:r>
            <w:r>
              <w:t>1</w:t>
            </w:r>
            <w:r w:rsidR="005D6EC3" w:rsidRPr="00C41C9C">
              <w:t>%</w:t>
            </w:r>
          </w:p>
        </w:tc>
      </w:tr>
      <w:tr w:rsidR="005D6EC3" w:rsidRPr="00C41C9C" w:rsidTr="00807EDC">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Waukesha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D30CAD" w:rsidP="001B00EC">
            <w:pPr>
              <w:spacing w:line="252" w:lineRule="auto"/>
              <w:ind w:left="44" w:right="62"/>
            </w:pPr>
            <w:r>
              <w:t>864</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D30CAD" w:rsidP="001B00EC">
            <w:pPr>
              <w:spacing w:line="252" w:lineRule="auto"/>
              <w:ind w:right="-23"/>
            </w:pPr>
            <w:r>
              <w:t>880</w:t>
            </w:r>
          </w:p>
        </w:tc>
        <w:tc>
          <w:tcPr>
            <w:tcW w:w="1170" w:type="dxa"/>
            <w:tcBorders>
              <w:top w:val="nil"/>
              <w:left w:val="nil"/>
              <w:bottom w:val="nil"/>
              <w:right w:val="nil"/>
            </w:tcBorders>
            <w:shd w:val="clear" w:color="auto" w:fill="DEEAF6" w:themeFill="accent1" w:themeFillTint="33"/>
            <w:vAlign w:val="center"/>
          </w:tcPr>
          <w:p w:rsidR="005D6EC3" w:rsidRPr="00C41C9C" w:rsidRDefault="00D30CAD" w:rsidP="00D30CAD">
            <w:pPr>
              <w:spacing w:line="252" w:lineRule="auto"/>
              <w:ind w:left="95" w:right="445"/>
              <w:jc w:val="right"/>
            </w:pPr>
            <w:r>
              <w:t>1</w:t>
            </w:r>
            <w:r w:rsidR="005D6EC3">
              <w:t>.</w:t>
            </w:r>
            <w:r>
              <w:t>9</w:t>
            </w:r>
            <w:r w:rsidR="005D6EC3" w:rsidRPr="00C41C9C">
              <w:t>%</w:t>
            </w: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Washington</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D30CAD" w:rsidP="00950F55">
            <w:pPr>
              <w:spacing w:line="252" w:lineRule="auto"/>
              <w:ind w:left="44" w:right="62"/>
            </w:pPr>
            <w:r>
              <w:t>281</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D30CAD" w:rsidP="001B00EC">
            <w:pPr>
              <w:spacing w:line="252" w:lineRule="auto"/>
              <w:ind w:right="-23"/>
            </w:pPr>
            <w:r>
              <w:t>272</w:t>
            </w:r>
          </w:p>
        </w:tc>
        <w:tc>
          <w:tcPr>
            <w:tcW w:w="1170" w:type="dxa"/>
            <w:tcBorders>
              <w:top w:val="nil"/>
              <w:left w:val="nil"/>
              <w:bottom w:val="nil"/>
              <w:right w:val="nil"/>
            </w:tcBorders>
            <w:shd w:val="clear" w:color="auto" w:fill="auto"/>
            <w:vAlign w:val="center"/>
          </w:tcPr>
          <w:p w:rsidR="005D6EC3" w:rsidRPr="00C41C9C" w:rsidRDefault="005D6EC3" w:rsidP="00D30CAD">
            <w:pPr>
              <w:spacing w:line="252" w:lineRule="auto"/>
              <w:ind w:left="95" w:right="445"/>
              <w:jc w:val="right"/>
            </w:pPr>
            <w:r>
              <w:t>-</w:t>
            </w:r>
            <w:r w:rsidR="00D30CAD">
              <w:t>3</w:t>
            </w:r>
            <w:r w:rsidR="00326251">
              <w:t>.</w:t>
            </w:r>
            <w:r w:rsidR="00D30CAD">
              <w:t>2</w:t>
            </w:r>
            <w:r w:rsidRPr="00C41C9C">
              <w:t>%</w:t>
            </w:r>
          </w:p>
        </w:tc>
      </w:tr>
      <w:tr w:rsidR="005D6EC3" w:rsidRPr="00C41C9C" w:rsidTr="00807EDC">
        <w:trPr>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Ozaukee</w:t>
            </w:r>
          </w:p>
        </w:tc>
        <w:tc>
          <w:tcPr>
            <w:tcW w:w="90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D6EC3" w:rsidRPr="00C41C9C" w:rsidRDefault="00D30CAD" w:rsidP="00950F55">
            <w:pPr>
              <w:spacing w:line="252" w:lineRule="auto"/>
              <w:ind w:left="44" w:right="62"/>
            </w:pPr>
            <w:r>
              <w:t>172</w:t>
            </w:r>
          </w:p>
        </w:tc>
        <w:tc>
          <w:tcPr>
            <w:tcW w:w="8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D6EC3" w:rsidRPr="00C41C9C" w:rsidRDefault="00D30CAD" w:rsidP="001B00EC">
            <w:pPr>
              <w:spacing w:line="252" w:lineRule="auto"/>
              <w:ind w:right="-23"/>
            </w:pPr>
            <w:r>
              <w:t>206</w:t>
            </w:r>
          </w:p>
        </w:tc>
        <w:tc>
          <w:tcPr>
            <w:tcW w:w="1170" w:type="dxa"/>
            <w:tcBorders>
              <w:top w:val="nil"/>
              <w:left w:val="nil"/>
              <w:bottom w:val="single" w:sz="4" w:space="0" w:color="auto"/>
              <w:right w:val="nil"/>
            </w:tcBorders>
            <w:shd w:val="clear" w:color="auto" w:fill="DEEAF6" w:themeFill="accent1" w:themeFillTint="33"/>
            <w:vAlign w:val="center"/>
          </w:tcPr>
          <w:p w:rsidR="005D6EC3" w:rsidRPr="00C41C9C" w:rsidRDefault="00D30CAD" w:rsidP="00D30CAD">
            <w:pPr>
              <w:spacing w:line="252" w:lineRule="auto"/>
              <w:ind w:left="95" w:right="445"/>
              <w:jc w:val="right"/>
            </w:pPr>
            <w:r>
              <w:t>1</w:t>
            </w:r>
            <w:r w:rsidR="00291172">
              <w:t>9</w:t>
            </w:r>
            <w:r w:rsidR="00326251">
              <w:t>.</w:t>
            </w:r>
            <w:r>
              <w:t>8</w:t>
            </w:r>
            <w:r w:rsidR="005D6EC3" w:rsidRPr="00C41C9C">
              <w:t>%</w:t>
            </w:r>
          </w:p>
        </w:tc>
      </w:tr>
      <w:tr w:rsidR="005D6EC3" w:rsidRPr="00C41C9C" w:rsidTr="00807EDC">
        <w:trPr>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4 County Area</w:t>
            </w:r>
          </w:p>
        </w:tc>
        <w:tc>
          <w:tcPr>
            <w:tcW w:w="90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D6EC3" w:rsidRPr="00C41C9C" w:rsidRDefault="009E7792" w:rsidP="00644CAB">
            <w:pPr>
              <w:spacing w:line="252" w:lineRule="auto"/>
              <w:ind w:left="44" w:right="62"/>
            </w:pPr>
            <w:r>
              <w:t>2</w:t>
            </w:r>
            <w:r w:rsidR="00326251">
              <w:t>,</w:t>
            </w:r>
            <w:r w:rsidR="00644CAB">
              <w:t>982</w:t>
            </w:r>
          </w:p>
        </w:tc>
        <w:tc>
          <w:tcPr>
            <w:tcW w:w="81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D6EC3" w:rsidRPr="00C41C9C" w:rsidRDefault="009E7792" w:rsidP="00644CAB">
            <w:pPr>
              <w:spacing w:line="252" w:lineRule="auto"/>
              <w:ind w:right="-23"/>
            </w:pPr>
            <w:r>
              <w:t>2</w:t>
            </w:r>
            <w:r w:rsidR="005D6EC3">
              <w:t>,</w:t>
            </w:r>
            <w:r w:rsidR="00644CAB">
              <w:t>922</w:t>
            </w:r>
          </w:p>
        </w:tc>
        <w:tc>
          <w:tcPr>
            <w:tcW w:w="1170" w:type="dxa"/>
            <w:tcBorders>
              <w:top w:val="single" w:sz="4" w:space="0" w:color="auto"/>
              <w:left w:val="nil"/>
              <w:bottom w:val="nil"/>
              <w:right w:val="nil"/>
            </w:tcBorders>
            <w:shd w:val="clear" w:color="auto" w:fill="auto"/>
            <w:vAlign w:val="center"/>
          </w:tcPr>
          <w:p w:rsidR="005D6EC3" w:rsidRPr="00C41C9C" w:rsidRDefault="00644CAB" w:rsidP="00644CAB">
            <w:pPr>
              <w:spacing w:line="252" w:lineRule="auto"/>
              <w:ind w:left="95" w:right="445"/>
              <w:jc w:val="right"/>
            </w:pPr>
            <w:r>
              <w:t>-2</w:t>
            </w:r>
            <w:r w:rsidR="00326251">
              <w:t>.</w:t>
            </w:r>
            <w:r>
              <w:t>0</w:t>
            </w:r>
            <w:r w:rsidR="005D6EC3" w:rsidRPr="00C41C9C">
              <w:t>%</w:t>
            </w:r>
          </w:p>
        </w:tc>
      </w:tr>
      <w:tr w:rsidR="005D6EC3" w:rsidRPr="00C41C9C" w:rsidTr="00807EDC">
        <w:trPr>
          <w:trHeight w:val="144"/>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left="62" w:right="100"/>
              <w:rPr>
                <w:sz w:val="10"/>
                <w:szCs w:val="10"/>
              </w:rPr>
            </w:pP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left="44" w:right="62"/>
              <w:rPr>
                <w:sz w:val="10"/>
                <w:szCs w:val="10"/>
              </w:rPr>
            </w:pP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right="-23"/>
              <w:rPr>
                <w:sz w:val="10"/>
                <w:szCs w:val="10"/>
              </w:rPr>
            </w:pPr>
          </w:p>
        </w:tc>
        <w:tc>
          <w:tcPr>
            <w:tcW w:w="1170" w:type="dxa"/>
            <w:tcBorders>
              <w:top w:val="nil"/>
              <w:left w:val="nil"/>
              <w:bottom w:val="nil"/>
              <w:right w:val="nil"/>
            </w:tcBorders>
            <w:shd w:val="clear" w:color="auto" w:fill="DEEAF6" w:themeFill="accent1" w:themeFillTint="33"/>
            <w:vAlign w:val="center"/>
          </w:tcPr>
          <w:p w:rsidR="005D6EC3" w:rsidRPr="00156337" w:rsidRDefault="005D6EC3" w:rsidP="00950F55">
            <w:pPr>
              <w:spacing w:line="252" w:lineRule="auto"/>
              <w:ind w:left="95" w:right="445"/>
              <w:jc w:val="right"/>
              <w:rPr>
                <w:sz w:val="10"/>
                <w:szCs w:val="10"/>
              </w:rPr>
            </w:pP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5D6EC3" w:rsidP="00950F55">
            <w:pPr>
              <w:spacing w:line="252" w:lineRule="auto"/>
              <w:ind w:left="62" w:right="100"/>
            </w:pPr>
            <w:r>
              <w:t>Racine</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D30CAD" w:rsidP="00291172">
            <w:pPr>
              <w:spacing w:line="252" w:lineRule="auto"/>
              <w:ind w:left="44" w:right="62"/>
            </w:pPr>
            <w:r>
              <w:t>385</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D30CAD" w:rsidP="001B00EC">
            <w:pPr>
              <w:spacing w:line="252" w:lineRule="auto"/>
              <w:ind w:right="-23"/>
            </w:pPr>
            <w:r>
              <w:t>379</w:t>
            </w:r>
          </w:p>
        </w:tc>
        <w:tc>
          <w:tcPr>
            <w:tcW w:w="1170" w:type="dxa"/>
            <w:tcBorders>
              <w:top w:val="nil"/>
              <w:left w:val="nil"/>
              <w:bottom w:val="nil"/>
              <w:right w:val="nil"/>
            </w:tcBorders>
            <w:shd w:val="clear" w:color="auto" w:fill="auto"/>
            <w:vAlign w:val="center"/>
          </w:tcPr>
          <w:p w:rsidR="005D6EC3" w:rsidRPr="00C41C9C" w:rsidRDefault="00D30CAD" w:rsidP="00D30CAD">
            <w:pPr>
              <w:spacing w:line="252" w:lineRule="auto"/>
              <w:ind w:left="95" w:right="445"/>
              <w:jc w:val="right"/>
            </w:pPr>
            <w:r>
              <w:t>-1</w:t>
            </w:r>
            <w:r w:rsidR="00326251">
              <w:t>.</w:t>
            </w:r>
            <w:r>
              <w:t>6</w:t>
            </w:r>
            <w:r w:rsidR="005D6EC3">
              <w:t>%</w:t>
            </w:r>
          </w:p>
        </w:tc>
      </w:tr>
      <w:tr w:rsidR="005D6EC3" w:rsidRPr="00C41C9C" w:rsidTr="00807EDC">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5D6EC3" w:rsidP="00950F55">
            <w:pPr>
              <w:spacing w:line="252" w:lineRule="auto"/>
              <w:ind w:left="62" w:right="100"/>
            </w:pPr>
            <w:r>
              <w:t>Kenosha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D30CAD" w:rsidP="00950F55">
            <w:pPr>
              <w:spacing w:line="252" w:lineRule="auto"/>
              <w:ind w:left="44" w:right="62"/>
            </w:pPr>
            <w:r>
              <w:t>332</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D30CAD" w:rsidP="001B00EC">
            <w:pPr>
              <w:spacing w:line="252" w:lineRule="auto"/>
              <w:ind w:right="-23"/>
            </w:pPr>
            <w:r>
              <w:t>315</w:t>
            </w:r>
          </w:p>
        </w:tc>
        <w:tc>
          <w:tcPr>
            <w:tcW w:w="1170" w:type="dxa"/>
            <w:tcBorders>
              <w:top w:val="nil"/>
              <w:left w:val="nil"/>
              <w:bottom w:val="nil"/>
              <w:right w:val="nil"/>
            </w:tcBorders>
            <w:shd w:val="clear" w:color="auto" w:fill="DEEAF6" w:themeFill="accent1" w:themeFillTint="33"/>
            <w:vAlign w:val="center"/>
          </w:tcPr>
          <w:p w:rsidR="005D6EC3" w:rsidRPr="00C41C9C" w:rsidRDefault="00D30CAD" w:rsidP="00D30CAD">
            <w:pPr>
              <w:spacing w:line="252" w:lineRule="auto"/>
              <w:ind w:left="95" w:right="445"/>
              <w:jc w:val="right"/>
            </w:pPr>
            <w:r>
              <w:t>-5</w:t>
            </w:r>
            <w:r w:rsidR="00326251">
              <w:t>.</w:t>
            </w:r>
            <w:r>
              <w:t>1</w:t>
            </w:r>
            <w:r w:rsidR="005D6EC3">
              <w:t>%</w:t>
            </w:r>
          </w:p>
        </w:tc>
      </w:tr>
      <w:tr w:rsidR="009F10D6"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9F10D6" w:rsidP="00950F55">
            <w:pPr>
              <w:spacing w:line="252" w:lineRule="auto"/>
              <w:ind w:left="62" w:right="100"/>
            </w:pPr>
            <w:r>
              <w:t>Walworth</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D30CAD" w:rsidP="00950F55">
            <w:pPr>
              <w:spacing w:line="252" w:lineRule="auto"/>
              <w:ind w:left="44" w:right="62"/>
            </w:pPr>
            <w:r>
              <w:t>305</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D30CAD" w:rsidP="00D30CAD">
            <w:pPr>
              <w:spacing w:line="252" w:lineRule="auto"/>
              <w:ind w:right="-23"/>
            </w:pPr>
            <w:r>
              <w:t>257</w:t>
            </w:r>
          </w:p>
        </w:tc>
        <w:tc>
          <w:tcPr>
            <w:tcW w:w="1170" w:type="dxa"/>
            <w:tcBorders>
              <w:top w:val="nil"/>
              <w:left w:val="nil"/>
              <w:bottom w:val="nil"/>
              <w:right w:val="nil"/>
            </w:tcBorders>
            <w:shd w:val="clear" w:color="auto" w:fill="auto"/>
            <w:vAlign w:val="center"/>
          </w:tcPr>
          <w:p w:rsidR="009F10D6" w:rsidRDefault="00D30CAD" w:rsidP="00D30CAD">
            <w:pPr>
              <w:spacing w:line="252" w:lineRule="auto"/>
              <w:ind w:left="95" w:right="445"/>
              <w:jc w:val="right"/>
            </w:pPr>
            <w:r>
              <w:t>-15</w:t>
            </w:r>
            <w:r w:rsidR="00326251">
              <w:t>.</w:t>
            </w:r>
            <w:r>
              <w:t>7</w:t>
            </w:r>
            <w:r w:rsidR="00EC64B4">
              <w:t>%</w:t>
            </w:r>
          </w:p>
        </w:tc>
      </w:tr>
    </w:tbl>
    <w:p w:rsidR="00D0513E" w:rsidRDefault="00D0513E" w:rsidP="002B0C16">
      <w:pPr>
        <w:spacing w:before="120" w:after="120"/>
        <w:ind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2B0C16" w:rsidRDefault="002B0C16" w:rsidP="001F5CBD">
      <w:pPr>
        <w:spacing w:before="120" w:after="120"/>
        <w:ind w:left="-360" w:right="-360"/>
        <w:contextualSpacing/>
        <w:rPr>
          <w:sz w:val="24"/>
          <w:szCs w:val="24"/>
        </w:rPr>
      </w:pPr>
    </w:p>
    <w:p w:rsidR="002B0C16" w:rsidRDefault="002B0C16" w:rsidP="001F5CBD">
      <w:pPr>
        <w:spacing w:before="120" w:after="120"/>
        <w:ind w:left="-360" w:right="-360"/>
        <w:contextualSpacing/>
        <w:rPr>
          <w:sz w:val="24"/>
          <w:szCs w:val="24"/>
        </w:rPr>
      </w:pPr>
    </w:p>
    <w:p w:rsidR="002B0C16" w:rsidRDefault="002B0C16"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1347B5" w:rsidRPr="006F7D1E" w:rsidRDefault="001347B5" w:rsidP="001347B5">
      <w:pPr>
        <w:spacing w:before="120" w:after="120"/>
        <w:ind w:left="-360" w:right="-360"/>
        <w:contextualSpacing/>
        <w:rPr>
          <w:b/>
          <w:bCs/>
          <w:sz w:val="24"/>
          <w:szCs w:val="24"/>
          <w:u w:val="single"/>
        </w:rPr>
      </w:pPr>
      <w:r w:rsidRPr="00FD76D1">
        <w:rPr>
          <w:b/>
          <w:bCs/>
          <w:sz w:val="24"/>
          <w:szCs w:val="24"/>
          <w:u w:val="single"/>
        </w:rPr>
        <w:t>Inventory</w:t>
      </w:r>
    </w:p>
    <w:p w:rsidR="001347B5" w:rsidRPr="006F7D1E" w:rsidRDefault="001347B5" w:rsidP="001347B5">
      <w:pPr>
        <w:spacing w:before="120" w:after="120"/>
        <w:ind w:left="-360" w:right="-360"/>
        <w:contextualSpacing/>
        <w:rPr>
          <w:sz w:val="24"/>
          <w:szCs w:val="24"/>
        </w:rPr>
      </w:pPr>
      <w:r w:rsidRPr="006F7D1E">
        <w:rPr>
          <w:sz w:val="24"/>
          <w:szCs w:val="24"/>
        </w:rPr>
        <w:t>Seasonally adjusted inventory is calculated by taking the homes available for sale in a given month and</w:t>
      </w:r>
      <w:r w:rsidR="00FE44EA">
        <w:rPr>
          <w:sz w:val="24"/>
          <w:szCs w:val="24"/>
        </w:rPr>
        <w:t xml:space="preserve"> </w:t>
      </w:r>
      <w:r w:rsidRPr="006F7D1E">
        <w:rPr>
          <w:sz w:val="24"/>
          <w:szCs w:val="24"/>
        </w:rPr>
        <w:t xml:space="preserve">comparing them to the past 12 months’ average sales.  This tells us how many months it would take to sell the existing homes on the market. The seasonally adjusted inventory level for </w:t>
      </w:r>
      <w:r w:rsidR="003121D0">
        <w:rPr>
          <w:sz w:val="24"/>
          <w:szCs w:val="24"/>
        </w:rPr>
        <w:t>May</w:t>
      </w:r>
      <w:r w:rsidRPr="006F7D1E">
        <w:rPr>
          <w:sz w:val="24"/>
          <w:szCs w:val="24"/>
        </w:rPr>
        <w:t xml:space="preserve"> was </w:t>
      </w:r>
      <w:r w:rsidR="00F1598A">
        <w:rPr>
          <w:sz w:val="24"/>
          <w:szCs w:val="24"/>
        </w:rPr>
        <w:t>3</w:t>
      </w:r>
      <w:r>
        <w:rPr>
          <w:sz w:val="24"/>
          <w:szCs w:val="24"/>
        </w:rPr>
        <w:t>.</w:t>
      </w:r>
      <w:r w:rsidR="00F1598A">
        <w:rPr>
          <w:sz w:val="24"/>
          <w:szCs w:val="24"/>
        </w:rPr>
        <w:t>5</w:t>
      </w:r>
      <w:r>
        <w:rPr>
          <w:sz w:val="24"/>
          <w:szCs w:val="24"/>
        </w:rPr>
        <w:t xml:space="preserve"> months</w:t>
      </w:r>
      <w:r w:rsidRPr="006F7D1E">
        <w:rPr>
          <w:sz w:val="24"/>
          <w:szCs w:val="24"/>
        </w:rPr>
        <w:t xml:space="preserve">.  The seasonally adjusted level was </w:t>
      </w:r>
      <w:r w:rsidR="00FE44EA">
        <w:rPr>
          <w:sz w:val="24"/>
          <w:szCs w:val="24"/>
        </w:rPr>
        <w:t>3.</w:t>
      </w:r>
      <w:r w:rsidR="00F1598A">
        <w:rPr>
          <w:sz w:val="24"/>
          <w:szCs w:val="24"/>
        </w:rPr>
        <w:t>6</w:t>
      </w:r>
      <w:r w:rsidRPr="006F7D1E">
        <w:rPr>
          <w:sz w:val="24"/>
          <w:szCs w:val="24"/>
        </w:rPr>
        <w:t xml:space="preserve"> months in </w:t>
      </w:r>
      <w:r w:rsidR="003121D0">
        <w:rPr>
          <w:sz w:val="24"/>
          <w:szCs w:val="24"/>
        </w:rPr>
        <w:t>May</w:t>
      </w:r>
      <w:r w:rsidRPr="006F7D1E">
        <w:rPr>
          <w:sz w:val="24"/>
          <w:szCs w:val="24"/>
        </w:rPr>
        <w:t xml:space="preserve"> 201</w:t>
      </w:r>
      <w:r w:rsidR="00FE44EA">
        <w:rPr>
          <w:sz w:val="24"/>
          <w:szCs w:val="24"/>
        </w:rPr>
        <w:t>8</w:t>
      </w:r>
      <w:r w:rsidRPr="006F7D1E">
        <w:rPr>
          <w:sz w:val="24"/>
          <w:szCs w:val="24"/>
        </w:rPr>
        <w:t>.</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sidRPr="006F7D1E">
        <w:rPr>
          <w:sz w:val="24"/>
          <w:szCs w:val="24"/>
        </w:rPr>
        <w:t>Generally, six months of inventory is considered a “balanced” market. If inventory falls below six months, the market favors sellers; and when inventory exceeds six months, it is a buyer’s market. </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We also calculate inventory by subtracting the listings that have an “active offer” from those available for sale in a given month.  Approximately 8 in 10 listings that buyers place an offer on go on to a complete sale.  This gives us a different perspective of the quantity of homes available on the market.</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 xml:space="preserve">Subtracting the </w:t>
      </w:r>
      <w:r w:rsidR="00F1598A">
        <w:rPr>
          <w:sz w:val="24"/>
          <w:szCs w:val="24"/>
        </w:rPr>
        <w:t>2</w:t>
      </w:r>
      <w:r>
        <w:rPr>
          <w:sz w:val="24"/>
          <w:szCs w:val="24"/>
        </w:rPr>
        <w:t>,</w:t>
      </w:r>
      <w:r w:rsidR="00FE44EA">
        <w:rPr>
          <w:sz w:val="24"/>
          <w:szCs w:val="24"/>
        </w:rPr>
        <w:t>6</w:t>
      </w:r>
      <w:r w:rsidR="00F1598A">
        <w:rPr>
          <w:sz w:val="24"/>
          <w:szCs w:val="24"/>
        </w:rPr>
        <w:t>44</w:t>
      </w:r>
      <w:r>
        <w:rPr>
          <w:sz w:val="24"/>
          <w:szCs w:val="24"/>
        </w:rPr>
        <w:t xml:space="preserve"> listings with an active offer from total current listings presents an effective inventory level of </w:t>
      </w:r>
      <w:r w:rsidR="00FE44EA">
        <w:rPr>
          <w:sz w:val="24"/>
          <w:szCs w:val="24"/>
        </w:rPr>
        <w:t>1.6</w:t>
      </w:r>
      <w:r>
        <w:rPr>
          <w:sz w:val="24"/>
          <w:szCs w:val="24"/>
        </w:rPr>
        <w:t xml:space="preserve"> months.  A year ago, the same calculation showed </w:t>
      </w:r>
      <w:r w:rsidR="003121D0">
        <w:rPr>
          <w:sz w:val="24"/>
          <w:szCs w:val="24"/>
        </w:rPr>
        <w:t>May</w:t>
      </w:r>
      <w:r w:rsidR="00FE44EA">
        <w:rPr>
          <w:sz w:val="24"/>
          <w:szCs w:val="24"/>
        </w:rPr>
        <w:t>’s inventory level at 1</w:t>
      </w:r>
      <w:r>
        <w:rPr>
          <w:sz w:val="24"/>
          <w:szCs w:val="24"/>
        </w:rPr>
        <w:t>.</w:t>
      </w:r>
      <w:r w:rsidR="00FE44EA">
        <w:rPr>
          <w:sz w:val="24"/>
          <w:szCs w:val="24"/>
        </w:rPr>
        <w:t>7</w:t>
      </w:r>
      <w:r>
        <w:rPr>
          <w:sz w:val="24"/>
          <w:szCs w:val="24"/>
        </w:rPr>
        <w:t xml:space="preserve"> months</w:t>
      </w:r>
      <w:r w:rsidR="00FE44EA">
        <w:rPr>
          <w:sz w:val="24"/>
          <w:szCs w:val="24"/>
        </w:rPr>
        <w:t>.</w:t>
      </w:r>
      <w:r>
        <w:rPr>
          <w:sz w:val="24"/>
          <w:szCs w:val="24"/>
        </w:rPr>
        <w:t xml:space="preserve"> </w:t>
      </w:r>
    </w:p>
    <w:p w:rsidR="000D45BC" w:rsidRDefault="000D45BC" w:rsidP="001F5CBD">
      <w:pPr>
        <w:spacing w:before="120" w:after="120"/>
        <w:ind w:left="-360" w:right="-360"/>
        <w:contextualSpacing/>
        <w:rPr>
          <w:sz w:val="24"/>
          <w:szCs w:val="24"/>
        </w:rPr>
      </w:pPr>
    </w:p>
    <w:p w:rsidR="00127EF0" w:rsidRDefault="00127EF0" w:rsidP="001F5CBD">
      <w:pPr>
        <w:spacing w:before="120" w:after="120"/>
        <w:ind w:left="-360" w:right="-360"/>
        <w:contextualSpacing/>
        <w:jc w:val="both"/>
        <w:rPr>
          <w:b/>
          <w:bCs/>
          <w:sz w:val="24"/>
          <w:szCs w:val="24"/>
          <w:u w:val="single"/>
        </w:rPr>
      </w:pPr>
      <w:r>
        <w:rPr>
          <w:b/>
          <w:bCs/>
          <w:sz w:val="24"/>
          <w:szCs w:val="24"/>
          <w:u w:val="single"/>
        </w:rPr>
        <w:t>Where to go</w:t>
      </w:r>
    </w:p>
    <w:p w:rsidR="00127EF0" w:rsidRDefault="00127EF0" w:rsidP="001F5CBD">
      <w:pPr>
        <w:spacing w:before="120" w:after="120"/>
        <w:ind w:left="-360" w:right="-360"/>
        <w:contextualSpacing/>
        <w:rPr>
          <w:sz w:val="24"/>
          <w:szCs w:val="24"/>
        </w:rPr>
      </w:pPr>
      <w:r>
        <w:rPr>
          <w:sz w:val="24"/>
          <w:szCs w:val="24"/>
        </w:rPr>
        <w:t>Buyers should seek the counsel of a REALTOR® in determining their best housing options, and sellers need a REALTORS® expert advice in making correct marketing decisions with their home</w:t>
      </w:r>
      <w:r w:rsidR="001B4CFE">
        <w:rPr>
          <w:sz w:val="24"/>
          <w:szCs w:val="24"/>
        </w:rPr>
        <w:t>s</w:t>
      </w:r>
      <w:r>
        <w:rPr>
          <w:sz w:val="24"/>
          <w:szCs w:val="24"/>
        </w:rPr>
        <w:t>.</w:t>
      </w:r>
    </w:p>
    <w:p w:rsidR="00127EF0" w:rsidRDefault="00127EF0" w:rsidP="001F5CBD">
      <w:pPr>
        <w:spacing w:before="120" w:after="120"/>
        <w:ind w:left="-360" w:right="-360"/>
        <w:contextualSpacing/>
        <w:rPr>
          <w:sz w:val="24"/>
          <w:szCs w:val="24"/>
        </w:rPr>
      </w:pPr>
    </w:p>
    <w:p w:rsidR="00127EF0" w:rsidRDefault="00127EF0" w:rsidP="001F5CBD">
      <w:pPr>
        <w:spacing w:before="120" w:after="120"/>
        <w:ind w:left="-360" w:right="-360"/>
        <w:contextualSpacing/>
        <w:rPr>
          <w:sz w:val="24"/>
          <w:szCs w:val="24"/>
        </w:rPr>
      </w:pPr>
      <w:r>
        <w:rPr>
          <w:sz w:val="24"/>
          <w:szCs w:val="24"/>
        </w:rPr>
        <w:lastRenderedPageBreak/>
        <w:t>The Greater Milwaukee Association of REALTORS</w:t>
      </w:r>
      <w:r>
        <w:rPr>
          <w:sz w:val="24"/>
          <w:szCs w:val="24"/>
          <w:vertAlign w:val="superscript"/>
        </w:rPr>
        <w:t>®</w:t>
      </w:r>
      <w:r w:rsidR="001E0262">
        <w:rPr>
          <w:sz w:val="24"/>
          <w:szCs w:val="24"/>
        </w:rPr>
        <w:t xml:space="preserve"> is a 4,5</w:t>
      </w:r>
      <w:r>
        <w:rPr>
          <w:sz w:val="24"/>
          <w:szCs w:val="24"/>
        </w:rPr>
        <w:t>00-member strong professional organization dedicated to providing information, services and products to “help REALTORS</w:t>
      </w:r>
      <w:r>
        <w:rPr>
          <w:sz w:val="24"/>
          <w:szCs w:val="24"/>
          <w:vertAlign w:val="superscript"/>
        </w:rPr>
        <w:t>®</w:t>
      </w:r>
      <w:r>
        <w:rPr>
          <w:sz w:val="24"/>
          <w:szCs w:val="24"/>
        </w:rPr>
        <w:t xml:space="preserve"> help their clients” buy and sell real estate.  Data for this report was collected by Metro MLS, Inc. a wholly-owned subsidiary of the GMAR.</w:t>
      </w:r>
    </w:p>
    <w:p w:rsidR="00127EF0" w:rsidRDefault="00127EF0" w:rsidP="001F5CBD">
      <w:pPr>
        <w:spacing w:before="120" w:after="120"/>
        <w:ind w:left="-360" w:right="-360"/>
        <w:contextualSpacing/>
        <w:rPr>
          <w:sz w:val="24"/>
          <w:szCs w:val="24"/>
        </w:rPr>
      </w:pPr>
    </w:p>
    <w:p w:rsidR="000D45BC" w:rsidRPr="009B3EAE" w:rsidRDefault="00127EF0" w:rsidP="009B3EAE">
      <w:pPr>
        <w:spacing w:before="120" w:after="120"/>
        <w:ind w:left="-360" w:right="-360"/>
        <w:contextualSpacing/>
        <w:jc w:val="both"/>
        <w:rPr>
          <w:sz w:val="20"/>
          <w:szCs w:val="20"/>
        </w:rPr>
      </w:pPr>
      <w:r>
        <w:rPr>
          <w:sz w:val="20"/>
          <w:szCs w:val="20"/>
        </w:rPr>
        <w:t>* Sales and Listing figures differ between the “Monthly Stats” and “4th qtr” (or year-end) because the collection of “Monthly Stats” ends on the 10</w:t>
      </w:r>
      <w:r>
        <w:rPr>
          <w:sz w:val="20"/>
          <w:szCs w:val="20"/>
          <w:vertAlign w:val="superscript"/>
        </w:rPr>
        <w:t>th</w:t>
      </w:r>
      <w:r>
        <w:rPr>
          <w:sz w:val="20"/>
          <w:szCs w:val="20"/>
        </w:rPr>
        <w:t xml:space="preserve"> of each month; whereas the “4</w:t>
      </w:r>
      <w:r>
        <w:rPr>
          <w:sz w:val="20"/>
          <w:szCs w:val="20"/>
          <w:vertAlign w:val="superscript"/>
        </w:rPr>
        <w:t>th</w:t>
      </w:r>
      <w:r>
        <w:rPr>
          <w:sz w:val="20"/>
          <w:szCs w:val="20"/>
        </w:rPr>
        <w:t xml:space="preserve"> qtr” is a continuous tally to 12/31.  For example, if a sale occurred on </w:t>
      </w:r>
      <w:r w:rsidR="003121D0">
        <w:rPr>
          <w:sz w:val="20"/>
          <w:szCs w:val="20"/>
        </w:rPr>
        <w:t>May</w:t>
      </w:r>
      <w:r>
        <w:rPr>
          <w:sz w:val="20"/>
          <w:szCs w:val="20"/>
        </w:rPr>
        <w:t xml:space="preserve"> 29</w:t>
      </w:r>
      <w:r>
        <w:rPr>
          <w:sz w:val="20"/>
          <w:szCs w:val="20"/>
          <w:vertAlign w:val="superscript"/>
        </w:rPr>
        <w:t>th</w:t>
      </w:r>
      <w:r>
        <w:rPr>
          <w:sz w:val="20"/>
          <w:szCs w:val="20"/>
        </w:rPr>
        <w:t xml:space="preserve">, but the agent does not record the sale until </w:t>
      </w:r>
      <w:r w:rsidR="003121D0">
        <w:rPr>
          <w:sz w:val="20"/>
          <w:szCs w:val="20"/>
        </w:rPr>
        <w:t>May</w:t>
      </w:r>
      <w:r>
        <w:rPr>
          <w:sz w:val="20"/>
          <w:szCs w:val="20"/>
        </w:rPr>
        <w:t xml:space="preserve"> 11</w:t>
      </w:r>
      <w:r>
        <w:rPr>
          <w:sz w:val="20"/>
          <w:szCs w:val="20"/>
          <w:vertAlign w:val="superscript"/>
        </w:rPr>
        <w:t>th</w:t>
      </w:r>
      <w:r>
        <w:rPr>
          <w:sz w:val="20"/>
          <w:szCs w:val="20"/>
        </w:rPr>
        <w:t xml:space="preserve">, that sale would not be included in the </w:t>
      </w:r>
      <w:r w:rsidR="003121D0">
        <w:rPr>
          <w:sz w:val="20"/>
          <w:szCs w:val="20"/>
        </w:rPr>
        <w:t>May</w:t>
      </w:r>
      <w:r>
        <w:rPr>
          <w:sz w:val="20"/>
          <w:szCs w:val="20"/>
        </w:rPr>
        <w:t xml:space="preserve"> sales figures (or any subsequent month’s total) but would be added to the annual total sales figure in the “4</w:t>
      </w:r>
      <w:r>
        <w:rPr>
          <w:sz w:val="20"/>
          <w:szCs w:val="20"/>
          <w:vertAlign w:val="superscript"/>
        </w:rPr>
        <w:t>th</w:t>
      </w:r>
      <w:r>
        <w:rPr>
          <w:sz w:val="20"/>
          <w:szCs w:val="20"/>
        </w:rPr>
        <w:t xml:space="preserve"> qtr” total.</w:t>
      </w:r>
      <w:bookmarkEnd w:id="0"/>
    </w:p>
    <w:sectPr w:rsidR="000D45BC" w:rsidRPr="009B3EAE" w:rsidSect="00AD05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3"/>
    <w:rsid w:val="0000535B"/>
    <w:rsid w:val="0002203D"/>
    <w:rsid w:val="000231FD"/>
    <w:rsid w:val="00027936"/>
    <w:rsid w:val="00036C88"/>
    <w:rsid w:val="00050EC7"/>
    <w:rsid w:val="00063605"/>
    <w:rsid w:val="000643AB"/>
    <w:rsid w:val="00085C75"/>
    <w:rsid w:val="000871EE"/>
    <w:rsid w:val="000A3217"/>
    <w:rsid w:val="000D45BC"/>
    <w:rsid w:val="000E6853"/>
    <w:rsid w:val="000F21F9"/>
    <w:rsid w:val="000F44FF"/>
    <w:rsid w:val="00127EF0"/>
    <w:rsid w:val="001312C0"/>
    <w:rsid w:val="001347B5"/>
    <w:rsid w:val="0013524F"/>
    <w:rsid w:val="00153E7F"/>
    <w:rsid w:val="001559E4"/>
    <w:rsid w:val="00156337"/>
    <w:rsid w:val="001710C0"/>
    <w:rsid w:val="00183378"/>
    <w:rsid w:val="00186DB6"/>
    <w:rsid w:val="001A060A"/>
    <w:rsid w:val="001B00EC"/>
    <w:rsid w:val="001B4CFE"/>
    <w:rsid w:val="001B610A"/>
    <w:rsid w:val="001C2406"/>
    <w:rsid w:val="001C62A3"/>
    <w:rsid w:val="001E0262"/>
    <w:rsid w:val="001F0911"/>
    <w:rsid w:val="001F5CBD"/>
    <w:rsid w:val="00211BC4"/>
    <w:rsid w:val="0023346D"/>
    <w:rsid w:val="002369FD"/>
    <w:rsid w:val="00291172"/>
    <w:rsid w:val="002B0C16"/>
    <w:rsid w:val="002C0B6C"/>
    <w:rsid w:val="003105DB"/>
    <w:rsid w:val="003121D0"/>
    <w:rsid w:val="003176C9"/>
    <w:rsid w:val="00323325"/>
    <w:rsid w:val="00326251"/>
    <w:rsid w:val="0033059A"/>
    <w:rsid w:val="0033551A"/>
    <w:rsid w:val="003639E9"/>
    <w:rsid w:val="003645F8"/>
    <w:rsid w:val="00366609"/>
    <w:rsid w:val="003724B8"/>
    <w:rsid w:val="00387C56"/>
    <w:rsid w:val="003B1886"/>
    <w:rsid w:val="003C35B1"/>
    <w:rsid w:val="003F6C47"/>
    <w:rsid w:val="004217B7"/>
    <w:rsid w:val="00437E34"/>
    <w:rsid w:val="00470AB1"/>
    <w:rsid w:val="0048406D"/>
    <w:rsid w:val="00486BF3"/>
    <w:rsid w:val="00487AC4"/>
    <w:rsid w:val="004A5FC1"/>
    <w:rsid w:val="004E6E55"/>
    <w:rsid w:val="00501774"/>
    <w:rsid w:val="00503E46"/>
    <w:rsid w:val="00510938"/>
    <w:rsid w:val="0052049F"/>
    <w:rsid w:val="00534DD3"/>
    <w:rsid w:val="0054105F"/>
    <w:rsid w:val="00544E79"/>
    <w:rsid w:val="00552DBB"/>
    <w:rsid w:val="005552A3"/>
    <w:rsid w:val="00556E33"/>
    <w:rsid w:val="00577F84"/>
    <w:rsid w:val="00580AAD"/>
    <w:rsid w:val="00585519"/>
    <w:rsid w:val="0059620F"/>
    <w:rsid w:val="005D6EC3"/>
    <w:rsid w:val="005E4C81"/>
    <w:rsid w:val="005F0E5D"/>
    <w:rsid w:val="00602021"/>
    <w:rsid w:val="006213F9"/>
    <w:rsid w:val="00623E52"/>
    <w:rsid w:val="00627F72"/>
    <w:rsid w:val="00637D71"/>
    <w:rsid w:val="00644CAB"/>
    <w:rsid w:val="00654B2A"/>
    <w:rsid w:val="006744A3"/>
    <w:rsid w:val="0068075F"/>
    <w:rsid w:val="006A1D0C"/>
    <w:rsid w:val="006B1AEE"/>
    <w:rsid w:val="006D13A0"/>
    <w:rsid w:val="006D176A"/>
    <w:rsid w:val="006D3CD7"/>
    <w:rsid w:val="006E60DF"/>
    <w:rsid w:val="006F7D1E"/>
    <w:rsid w:val="00707437"/>
    <w:rsid w:val="00742C85"/>
    <w:rsid w:val="00754539"/>
    <w:rsid w:val="00754FD0"/>
    <w:rsid w:val="0078467D"/>
    <w:rsid w:val="0079199D"/>
    <w:rsid w:val="0079305F"/>
    <w:rsid w:val="007B6D3B"/>
    <w:rsid w:val="007C3727"/>
    <w:rsid w:val="007C40CE"/>
    <w:rsid w:val="007E478A"/>
    <w:rsid w:val="007F41E1"/>
    <w:rsid w:val="00807EDC"/>
    <w:rsid w:val="00815481"/>
    <w:rsid w:val="00817377"/>
    <w:rsid w:val="00822A10"/>
    <w:rsid w:val="00853C6E"/>
    <w:rsid w:val="008654F1"/>
    <w:rsid w:val="0089092A"/>
    <w:rsid w:val="0089320B"/>
    <w:rsid w:val="008A6E66"/>
    <w:rsid w:val="008D51A0"/>
    <w:rsid w:val="008F15EA"/>
    <w:rsid w:val="00902D03"/>
    <w:rsid w:val="0092306F"/>
    <w:rsid w:val="0093295D"/>
    <w:rsid w:val="00945145"/>
    <w:rsid w:val="00945C7F"/>
    <w:rsid w:val="00950D76"/>
    <w:rsid w:val="00950F55"/>
    <w:rsid w:val="009566F0"/>
    <w:rsid w:val="00960659"/>
    <w:rsid w:val="009717AC"/>
    <w:rsid w:val="00973EEB"/>
    <w:rsid w:val="00986E1D"/>
    <w:rsid w:val="009A3885"/>
    <w:rsid w:val="009B397A"/>
    <w:rsid w:val="009B3EAE"/>
    <w:rsid w:val="009B6FCA"/>
    <w:rsid w:val="009D1956"/>
    <w:rsid w:val="009D2241"/>
    <w:rsid w:val="009E7792"/>
    <w:rsid w:val="009F10D6"/>
    <w:rsid w:val="00A017CA"/>
    <w:rsid w:val="00A2539A"/>
    <w:rsid w:val="00A25CC3"/>
    <w:rsid w:val="00A344B6"/>
    <w:rsid w:val="00A37F31"/>
    <w:rsid w:val="00A60995"/>
    <w:rsid w:val="00A648D1"/>
    <w:rsid w:val="00A66F2A"/>
    <w:rsid w:val="00A92A94"/>
    <w:rsid w:val="00A96CA0"/>
    <w:rsid w:val="00AB1D2A"/>
    <w:rsid w:val="00AB30DB"/>
    <w:rsid w:val="00AC3065"/>
    <w:rsid w:val="00AD0530"/>
    <w:rsid w:val="00AE1A13"/>
    <w:rsid w:val="00AF3EAF"/>
    <w:rsid w:val="00B01F83"/>
    <w:rsid w:val="00B062F3"/>
    <w:rsid w:val="00B704CC"/>
    <w:rsid w:val="00B93707"/>
    <w:rsid w:val="00BA70FF"/>
    <w:rsid w:val="00BA71CB"/>
    <w:rsid w:val="00BC1205"/>
    <w:rsid w:val="00BD7407"/>
    <w:rsid w:val="00BE172C"/>
    <w:rsid w:val="00BE5BDE"/>
    <w:rsid w:val="00BF155E"/>
    <w:rsid w:val="00C042A4"/>
    <w:rsid w:val="00C10518"/>
    <w:rsid w:val="00C37BF8"/>
    <w:rsid w:val="00C41C9C"/>
    <w:rsid w:val="00C5567F"/>
    <w:rsid w:val="00C66FB5"/>
    <w:rsid w:val="00C746BD"/>
    <w:rsid w:val="00C76AED"/>
    <w:rsid w:val="00C919A0"/>
    <w:rsid w:val="00CD08DE"/>
    <w:rsid w:val="00CD626E"/>
    <w:rsid w:val="00D01D6F"/>
    <w:rsid w:val="00D0513E"/>
    <w:rsid w:val="00D11FFF"/>
    <w:rsid w:val="00D27B49"/>
    <w:rsid w:val="00D30CAD"/>
    <w:rsid w:val="00D432FD"/>
    <w:rsid w:val="00D44446"/>
    <w:rsid w:val="00D5287E"/>
    <w:rsid w:val="00DA2234"/>
    <w:rsid w:val="00DB7C1E"/>
    <w:rsid w:val="00DD184E"/>
    <w:rsid w:val="00E12F08"/>
    <w:rsid w:val="00E22DD1"/>
    <w:rsid w:val="00E302C4"/>
    <w:rsid w:val="00E35D19"/>
    <w:rsid w:val="00E56F12"/>
    <w:rsid w:val="00E64AEC"/>
    <w:rsid w:val="00E65340"/>
    <w:rsid w:val="00E8432A"/>
    <w:rsid w:val="00E926DC"/>
    <w:rsid w:val="00E93F72"/>
    <w:rsid w:val="00EA2981"/>
    <w:rsid w:val="00EC64B4"/>
    <w:rsid w:val="00EC789A"/>
    <w:rsid w:val="00ED577D"/>
    <w:rsid w:val="00F04E39"/>
    <w:rsid w:val="00F07937"/>
    <w:rsid w:val="00F079C3"/>
    <w:rsid w:val="00F1598A"/>
    <w:rsid w:val="00F27208"/>
    <w:rsid w:val="00F34C38"/>
    <w:rsid w:val="00F35E94"/>
    <w:rsid w:val="00F4702E"/>
    <w:rsid w:val="00F56E8C"/>
    <w:rsid w:val="00F73353"/>
    <w:rsid w:val="00F81E12"/>
    <w:rsid w:val="00F93942"/>
    <w:rsid w:val="00F93B42"/>
    <w:rsid w:val="00F94B2E"/>
    <w:rsid w:val="00FC30D6"/>
    <w:rsid w:val="00FD76D1"/>
    <w:rsid w:val="00FE44EA"/>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BAC1-F34F-4B12-9904-58F3866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gmar.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w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141</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6</cp:revision>
  <cp:lastPrinted>2019-05-10T19:27:00Z</cp:lastPrinted>
  <dcterms:created xsi:type="dcterms:W3CDTF">2019-05-10T18:41:00Z</dcterms:created>
  <dcterms:modified xsi:type="dcterms:W3CDTF">2019-06-10T19:39:00Z</dcterms:modified>
</cp:coreProperties>
</file>