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EF0" w:rsidRDefault="001F5CBD" w:rsidP="001F5CBD">
      <w:pPr>
        <w:jc w:val="center"/>
        <w:rPr>
          <w:sz w:val="24"/>
          <w:szCs w:val="24"/>
        </w:rPr>
      </w:pPr>
      <w:bookmarkStart w:id="0" w:name="_MailOriginal"/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4257040</wp:posOffset>
            </wp:positionH>
            <wp:positionV relativeFrom="paragraph">
              <wp:posOffset>0</wp:posOffset>
            </wp:positionV>
            <wp:extent cx="2164715" cy="1000125"/>
            <wp:effectExtent l="0" t="0" r="698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MAR 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71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-419100</wp:posOffset>
                </wp:positionV>
                <wp:extent cx="1552575" cy="1647825"/>
                <wp:effectExtent l="19050" t="0" r="47625" b="28575"/>
                <wp:wrapNone/>
                <wp:docPr id="10" name="Chevr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647825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1C45F2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0" o:spid="_x0000_s1026" type="#_x0000_t55" style="position:absolute;margin-left:200.25pt;margin-top:-33pt;width:122.25pt;height:129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" adj="10800" fillcolor="#1f4d78 [1604]" strokecolor="#1f4d78 [160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-428625</wp:posOffset>
                </wp:positionV>
                <wp:extent cx="3924300" cy="1647825"/>
                <wp:effectExtent l="0" t="0" r="38100" b="28575"/>
                <wp:wrapNone/>
                <wp:docPr id="9" name="Pent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164782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B4B" w:rsidRPr="00A66F2A" w:rsidRDefault="000B3B4B" w:rsidP="001F5CBD">
                            <w:pPr>
                              <w:ind w:right="480" w:firstLine="72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66F2A">
                              <w:rPr>
                                <w:b/>
                                <w:sz w:val="26"/>
                                <w:szCs w:val="26"/>
                              </w:rPr>
                              <w:t>For Immediate Release</w:t>
                            </w:r>
                          </w:p>
                          <w:p w:rsidR="000B3B4B" w:rsidRPr="00A66F2A" w:rsidRDefault="000B3B4B" w:rsidP="001F5CBD">
                            <w:pPr>
                              <w:ind w:right="480" w:firstLine="720"/>
                              <w:rPr>
                                <w:sz w:val="26"/>
                                <w:szCs w:val="26"/>
                              </w:rPr>
                            </w:pPr>
                            <w:r w:rsidRPr="00A66F2A">
                              <w:rPr>
                                <w:sz w:val="26"/>
                                <w:szCs w:val="26"/>
                              </w:rPr>
                              <w:t>Contact:  Mike Ruzicka</w:t>
                            </w:r>
                          </w:p>
                          <w:p w:rsidR="000B3B4B" w:rsidRPr="00A66F2A" w:rsidRDefault="000B3B4B" w:rsidP="001F5CBD">
                            <w:pPr>
                              <w:ind w:right="480" w:firstLine="720"/>
                              <w:rPr>
                                <w:sz w:val="26"/>
                                <w:szCs w:val="26"/>
                              </w:rPr>
                            </w:pPr>
                            <w:r w:rsidRPr="00A66F2A">
                              <w:rPr>
                                <w:sz w:val="26"/>
                                <w:szCs w:val="26"/>
                              </w:rPr>
                              <w:t>414.778.4929 or 414.870.1876</w:t>
                            </w:r>
                          </w:p>
                          <w:p w:rsidR="000B3B4B" w:rsidRPr="001F5CBD" w:rsidRDefault="000B3B4B" w:rsidP="001F5CBD">
                            <w:pPr>
                              <w:ind w:firstLine="720"/>
                              <w:rPr>
                                <w:color w:val="FFFFFF" w:themeColor="background1"/>
                              </w:rPr>
                            </w:pPr>
                            <w:hyperlink r:id="rId6" w:history="1">
                              <w:r w:rsidRPr="00A66F2A">
                                <w:rPr>
                                  <w:rStyle w:val="Hyperlink"/>
                                  <w:color w:val="FFFFFF" w:themeColor="background1"/>
                                  <w:sz w:val="26"/>
                                  <w:szCs w:val="26"/>
                                </w:rPr>
                                <w:t>mike@gmar.ws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9" o:spid="_x0000_s1026" type="#_x0000_t15" style="position:absolute;left:0;text-align:left;margin-left:-69pt;margin-top:-33.75pt;width:309pt;height:12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" adj="17065" fillcolor="#1f4d78 [1604]" strokecolor="#1f4d78 [1604]" strokeweight="1pt">
                <v:textbox>
                  <w:txbxContent>
                    <w:p w:rsidR="000B3B4B" w:rsidRPr="00A66F2A" w:rsidRDefault="000B3B4B" w:rsidP="001F5CBD">
                      <w:pPr>
                        <w:ind w:right="480" w:firstLine="720"/>
                        <w:rPr>
                          <w:b/>
                          <w:sz w:val="26"/>
                          <w:szCs w:val="26"/>
                        </w:rPr>
                      </w:pPr>
                      <w:r w:rsidRPr="00A66F2A">
                        <w:rPr>
                          <w:b/>
                          <w:sz w:val="26"/>
                          <w:szCs w:val="26"/>
                        </w:rPr>
                        <w:t>For Immediate Release</w:t>
                      </w:r>
                    </w:p>
                    <w:p w:rsidR="000B3B4B" w:rsidRPr="00A66F2A" w:rsidRDefault="000B3B4B" w:rsidP="001F5CBD">
                      <w:pPr>
                        <w:ind w:right="480" w:firstLine="720"/>
                        <w:rPr>
                          <w:sz w:val="26"/>
                          <w:szCs w:val="26"/>
                        </w:rPr>
                      </w:pPr>
                      <w:r w:rsidRPr="00A66F2A">
                        <w:rPr>
                          <w:sz w:val="26"/>
                          <w:szCs w:val="26"/>
                        </w:rPr>
                        <w:t>Contact:  Mike Ruzicka</w:t>
                      </w:r>
                    </w:p>
                    <w:p w:rsidR="000B3B4B" w:rsidRPr="00A66F2A" w:rsidRDefault="000B3B4B" w:rsidP="001F5CBD">
                      <w:pPr>
                        <w:ind w:right="480" w:firstLine="720"/>
                        <w:rPr>
                          <w:sz w:val="26"/>
                          <w:szCs w:val="26"/>
                        </w:rPr>
                      </w:pPr>
                      <w:r w:rsidRPr="00A66F2A">
                        <w:rPr>
                          <w:sz w:val="26"/>
                          <w:szCs w:val="26"/>
                        </w:rPr>
                        <w:t>414.778.4929 or 414.870.1876</w:t>
                      </w:r>
                    </w:p>
                    <w:p w:rsidR="000B3B4B" w:rsidRPr="001F5CBD" w:rsidRDefault="000B3B4B" w:rsidP="001F5CBD">
                      <w:pPr>
                        <w:ind w:firstLine="720"/>
                        <w:rPr>
                          <w:color w:val="FFFFFF" w:themeColor="background1"/>
                        </w:rPr>
                      </w:pPr>
                      <w:hyperlink r:id="rId7" w:history="1">
                        <w:r w:rsidRPr="00A66F2A">
                          <w:rPr>
                            <w:rStyle w:val="Hyperlink"/>
                            <w:color w:val="FFFFFF" w:themeColor="background1"/>
                            <w:sz w:val="26"/>
                            <w:szCs w:val="26"/>
                          </w:rPr>
                          <w:t>mike@gmar.ws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27EF0">
        <w:rPr>
          <w:sz w:val="24"/>
          <w:szCs w:val="24"/>
        </w:rPr>
        <w:t xml:space="preserve"> </w:t>
      </w:r>
    </w:p>
    <w:p w:rsidR="00127EF0" w:rsidRDefault="00127EF0" w:rsidP="00127EF0">
      <w:pPr>
        <w:rPr>
          <w:sz w:val="24"/>
          <w:szCs w:val="24"/>
        </w:rPr>
      </w:pPr>
    </w:p>
    <w:p w:rsidR="00127EF0" w:rsidRDefault="00127EF0" w:rsidP="00127EF0">
      <w:pPr>
        <w:rPr>
          <w:sz w:val="24"/>
          <w:szCs w:val="24"/>
        </w:rPr>
      </w:pPr>
    </w:p>
    <w:p w:rsidR="00127EF0" w:rsidRDefault="00127EF0" w:rsidP="00127EF0">
      <w:pPr>
        <w:jc w:val="center"/>
        <w:rPr>
          <w:rFonts w:eastAsia="Times New Roman"/>
          <w:b/>
          <w:bCs/>
          <w:sz w:val="24"/>
          <w:szCs w:val="24"/>
        </w:rPr>
      </w:pPr>
    </w:p>
    <w:p w:rsidR="001F5CBD" w:rsidRDefault="001F5CBD" w:rsidP="00127EF0">
      <w:pPr>
        <w:spacing w:before="120" w:after="120"/>
        <w:ind w:left="-360" w:right="-360"/>
        <w:contextualSpacing/>
        <w:jc w:val="center"/>
        <w:rPr>
          <w:rFonts w:ascii="Arial Narrow" w:hAnsi="Arial Narrow"/>
          <w:b/>
          <w:bCs/>
          <w:sz w:val="56"/>
          <w:szCs w:val="56"/>
        </w:rPr>
      </w:pPr>
      <w:bookmarkStart w:id="1" w:name="_GoBack"/>
    </w:p>
    <w:bookmarkEnd w:id="1"/>
    <w:p w:rsidR="001F5CBD" w:rsidRDefault="001F5CBD" w:rsidP="001F5CBD">
      <w:pPr>
        <w:spacing w:before="120" w:after="120"/>
        <w:ind w:left="-360" w:right="-360"/>
        <w:contextualSpacing/>
        <w:jc w:val="center"/>
        <w:rPr>
          <w:rFonts w:ascii="Arial Narrow" w:hAnsi="Arial Narrow"/>
          <w:b/>
          <w:bCs/>
          <w:sz w:val="56"/>
          <w:szCs w:val="56"/>
        </w:rPr>
      </w:pPr>
    </w:p>
    <w:p w:rsidR="00127EF0" w:rsidRDefault="00EE2FFE" w:rsidP="001F5CBD">
      <w:pPr>
        <w:spacing w:before="120" w:after="120"/>
        <w:ind w:left="-360" w:right="-360"/>
        <w:contextualSpacing/>
        <w:jc w:val="center"/>
        <w:rPr>
          <w:rFonts w:ascii="Arial Narrow" w:hAnsi="Arial Narrow"/>
          <w:b/>
          <w:bCs/>
          <w:sz w:val="72"/>
          <w:szCs w:val="72"/>
        </w:rPr>
      </w:pPr>
      <w:r>
        <w:rPr>
          <w:rFonts w:ascii="Arial Narrow" w:hAnsi="Arial Narrow"/>
          <w:b/>
          <w:bCs/>
          <w:sz w:val="72"/>
          <w:szCs w:val="72"/>
        </w:rPr>
        <w:t>June</w:t>
      </w:r>
      <w:r w:rsidR="00127EF0" w:rsidRPr="001F5CBD">
        <w:rPr>
          <w:rFonts w:ascii="Arial Narrow" w:hAnsi="Arial Narrow"/>
          <w:b/>
          <w:bCs/>
          <w:sz w:val="72"/>
          <w:szCs w:val="72"/>
        </w:rPr>
        <w:t xml:space="preserve"> Home Sales </w:t>
      </w:r>
      <w:r w:rsidR="00977AE7">
        <w:rPr>
          <w:rFonts w:ascii="Arial Narrow" w:hAnsi="Arial Narrow"/>
          <w:b/>
          <w:bCs/>
          <w:sz w:val="72"/>
          <w:szCs w:val="72"/>
        </w:rPr>
        <w:t xml:space="preserve">Down </w:t>
      </w:r>
      <w:r w:rsidR="002B4F66">
        <w:rPr>
          <w:rFonts w:ascii="Arial Narrow" w:hAnsi="Arial Narrow"/>
          <w:b/>
          <w:bCs/>
          <w:sz w:val="72"/>
          <w:szCs w:val="72"/>
        </w:rPr>
        <w:t>5.</w:t>
      </w:r>
      <w:r w:rsidR="00F95E80">
        <w:rPr>
          <w:rFonts w:ascii="Arial Narrow" w:hAnsi="Arial Narrow"/>
          <w:b/>
          <w:bCs/>
          <w:sz w:val="72"/>
          <w:szCs w:val="72"/>
        </w:rPr>
        <w:t>8</w:t>
      </w:r>
      <w:r w:rsidR="00127EF0" w:rsidRPr="001F5CBD">
        <w:rPr>
          <w:rFonts w:ascii="Arial Narrow" w:hAnsi="Arial Narrow"/>
          <w:b/>
          <w:bCs/>
          <w:sz w:val="72"/>
          <w:szCs w:val="72"/>
        </w:rPr>
        <w:t>%</w:t>
      </w:r>
    </w:p>
    <w:p w:rsidR="00C22763" w:rsidRPr="001F5CBD" w:rsidRDefault="00EE2FFE" w:rsidP="001F5CBD">
      <w:pPr>
        <w:spacing w:before="120" w:after="120"/>
        <w:ind w:left="-360" w:right="-360"/>
        <w:contextualSpacing/>
        <w:jc w:val="center"/>
        <w:rPr>
          <w:rFonts w:ascii="Arial Narrow" w:hAnsi="Arial Narrow"/>
          <w:b/>
          <w:bCs/>
          <w:sz w:val="72"/>
          <w:szCs w:val="72"/>
        </w:rPr>
      </w:pPr>
      <w:r>
        <w:rPr>
          <w:rFonts w:ascii="Arial Narrow" w:hAnsi="Arial Narrow"/>
          <w:b/>
          <w:bCs/>
          <w:sz w:val="72"/>
          <w:szCs w:val="72"/>
        </w:rPr>
        <w:t>2</w:t>
      </w:r>
      <w:r w:rsidRPr="00EE2FFE">
        <w:rPr>
          <w:rFonts w:ascii="Arial Narrow" w:hAnsi="Arial Narrow"/>
          <w:b/>
          <w:bCs/>
          <w:sz w:val="72"/>
          <w:szCs w:val="72"/>
          <w:vertAlign w:val="superscript"/>
        </w:rPr>
        <w:t>nd</w:t>
      </w:r>
      <w:r>
        <w:rPr>
          <w:rFonts w:ascii="Arial Narrow" w:hAnsi="Arial Narrow"/>
          <w:b/>
          <w:bCs/>
          <w:sz w:val="72"/>
          <w:szCs w:val="72"/>
        </w:rPr>
        <w:t xml:space="preserve"> </w:t>
      </w:r>
      <w:r w:rsidR="00521D03">
        <w:rPr>
          <w:rFonts w:ascii="Arial Narrow" w:hAnsi="Arial Narrow"/>
          <w:b/>
          <w:bCs/>
          <w:sz w:val="72"/>
          <w:szCs w:val="72"/>
        </w:rPr>
        <w:t>QTR</w:t>
      </w:r>
      <w:r w:rsidR="002228CD">
        <w:rPr>
          <w:rFonts w:ascii="Arial Narrow" w:hAnsi="Arial Narrow"/>
          <w:b/>
          <w:bCs/>
          <w:sz w:val="72"/>
          <w:szCs w:val="72"/>
        </w:rPr>
        <w:t xml:space="preserve"> </w:t>
      </w:r>
      <w:r w:rsidR="00E40C3D">
        <w:rPr>
          <w:rFonts w:ascii="Arial Narrow" w:hAnsi="Arial Narrow"/>
          <w:b/>
          <w:bCs/>
          <w:sz w:val="72"/>
          <w:szCs w:val="72"/>
        </w:rPr>
        <w:t>Down</w:t>
      </w:r>
      <w:r w:rsidR="001D7B23">
        <w:rPr>
          <w:rFonts w:ascii="Arial Narrow" w:hAnsi="Arial Narrow"/>
          <w:b/>
          <w:bCs/>
          <w:sz w:val="72"/>
          <w:szCs w:val="72"/>
        </w:rPr>
        <w:t xml:space="preserve"> </w:t>
      </w:r>
      <w:r w:rsidR="00F95E80">
        <w:rPr>
          <w:rFonts w:ascii="Arial Narrow" w:hAnsi="Arial Narrow"/>
          <w:b/>
          <w:bCs/>
          <w:sz w:val="72"/>
          <w:szCs w:val="72"/>
        </w:rPr>
        <w:t>5</w:t>
      </w:r>
      <w:r w:rsidR="001D7B23">
        <w:rPr>
          <w:rFonts w:ascii="Arial Narrow" w:hAnsi="Arial Narrow"/>
          <w:b/>
          <w:bCs/>
          <w:sz w:val="72"/>
          <w:szCs w:val="72"/>
        </w:rPr>
        <w:t>.</w:t>
      </w:r>
      <w:r w:rsidR="00F95E80">
        <w:rPr>
          <w:rFonts w:ascii="Arial Narrow" w:hAnsi="Arial Narrow"/>
          <w:b/>
          <w:bCs/>
          <w:sz w:val="72"/>
          <w:szCs w:val="72"/>
        </w:rPr>
        <w:t>0</w:t>
      </w:r>
      <w:r w:rsidR="00C22763">
        <w:rPr>
          <w:rFonts w:ascii="Arial Narrow" w:hAnsi="Arial Narrow"/>
          <w:b/>
          <w:bCs/>
          <w:sz w:val="72"/>
          <w:szCs w:val="72"/>
        </w:rPr>
        <w:t>%</w:t>
      </w:r>
    </w:p>
    <w:tbl>
      <w:tblPr>
        <w:tblStyle w:val="TableGrid"/>
        <w:tblpPr w:leftFromText="180" w:rightFromText="180" w:vertAnchor="text" w:horzAnchor="margin" w:tblpX="-360" w:tblpY="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90"/>
      </w:tblGrid>
      <w:tr w:rsidR="00E302C4" w:rsidTr="00767AFC">
        <w:trPr>
          <w:trHeight w:val="455"/>
        </w:trPr>
        <w:tc>
          <w:tcPr>
            <w:tcW w:w="5490" w:type="dxa"/>
            <w:vAlign w:val="center"/>
          </w:tcPr>
          <w:p w:rsidR="00E302C4" w:rsidRPr="00E302C4" w:rsidRDefault="00E302C4" w:rsidP="00E302C4">
            <w:pPr>
              <w:spacing w:before="120" w:after="120"/>
              <w:ind w:left="-115" w:right="-360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E302C4">
              <w:rPr>
                <w:rFonts w:ascii="Arial Narrow" w:hAnsi="Arial Narrow"/>
                <w:b/>
                <w:bCs/>
                <w:sz w:val="24"/>
                <w:szCs w:val="24"/>
              </w:rPr>
              <w:t>Market Highlights</w:t>
            </w:r>
          </w:p>
        </w:tc>
      </w:tr>
      <w:tr w:rsidR="00E302C4" w:rsidTr="00767AFC">
        <w:trPr>
          <w:trHeight w:hRule="exact" w:val="369"/>
        </w:trPr>
        <w:tc>
          <w:tcPr>
            <w:tcW w:w="5490" w:type="dxa"/>
            <w:shd w:val="clear" w:color="auto" w:fill="DEEAF6" w:themeFill="accent1" w:themeFillTint="33"/>
            <w:vAlign w:val="center"/>
          </w:tcPr>
          <w:p w:rsidR="00E302C4" w:rsidRPr="00577F84" w:rsidRDefault="000418A7" w:rsidP="000758D2">
            <w:pPr>
              <w:pStyle w:val="ListParagraph"/>
              <w:numPr>
                <w:ilvl w:val="0"/>
                <w:numId w:val="3"/>
              </w:numPr>
              <w:spacing w:after="120"/>
              <w:ind w:left="240" w:right="-36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Prices</w:t>
            </w:r>
            <w:r w:rsidR="000970E3">
              <w:rPr>
                <w:sz w:val="24"/>
                <w:szCs w:val="24"/>
              </w:rPr>
              <w:t xml:space="preserve"> </w:t>
            </w:r>
            <w:r w:rsidR="000758D2">
              <w:rPr>
                <w:sz w:val="24"/>
                <w:szCs w:val="24"/>
              </w:rPr>
              <w:t>Up In 4 County Area</w:t>
            </w:r>
            <w:r w:rsidR="000970E3">
              <w:rPr>
                <w:sz w:val="24"/>
                <w:szCs w:val="24"/>
              </w:rPr>
              <w:t xml:space="preserve"> </w:t>
            </w:r>
          </w:p>
        </w:tc>
      </w:tr>
      <w:tr w:rsidR="00E302C4" w:rsidTr="00767AFC">
        <w:trPr>
          <w:trHeight w:hRule="exact" w:val="369"/>
        </w:trPr>
        <w:tc>
          <w:tcPr>
            <w:tcW w:w="5490" w:type="dxa"/>
            <w:shd w:val="clear" w:color="auto" w:fill="DEEAF6" w:themeFill="accent1" w:themeFillTint="33"/>
            <w:vAlign w:val="center"/>
          </w:tcPr>
          <w:p w:rsidR="00E302C4" w:rsidRPr="00577F84" w:rsidRDefault="00767AFC" w:rsidP="00767AFC">
            <w:pPr>
              <w:pStyle w:val="ListParagraph"/>
              <w:numPr>
                <w:ilvl w:val="0"/>
                <w:numId w:val="3"/>
              </w:numPr>
              <w:spacing w:after="120"/>
              <w:ind w:left="240" w:right="-36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 is Slowing, But Still Running At a High Level</w:t>
            </w:r>
          </w:p>
        </w:tc>
      </w:tr>
      <w:tr w:rsidR="00E302C4" w:rsidTr="00767AFC">
        <w:trPr>
          <w:trHeight w:hRule="exact" w:val="369"/>
        </w:trPr>
        <w:tc>
          <w:tcPr>
            <w:tcW w:w="5490" w:type="dxa"/>
            <w:shd w:val="clear" w:color="auto" w:fill="DEEAF6" w:themeFill="accent1" w:themeFillTint="33"/>
            <w:vAlign w:val="center"/>
          </w:tcPr>
          <w:p w:rsidR="00E302C4" w:rsidRDefault="006C5BE5" w:rsidP="006C5BE5">
            <w:pPr>
              <w:pStyle w:val="ListParagraph"/>
              <w:numPr>
                <w:ilvl w:val="0"/>
                <w:numId w:val="3"/>
              </w:numPr>
              <w:spacing w:after="120"/>
              <w:ind w:left="240" w:right="-36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Despite Increased </w:t>
            </w:r>
            <w:r w:rsidR="000970E3">
              <w:rPr>
                <w:sz w:val="24"/>
                <w:szCs w:val="24"/>
              </w:rPr>
              <w:t>Listings</w:t>
            </w:r>
            <w:r>
              <w:rPr>
                <w:sz w:val="24"/>
                <w:szCs w:val="24"/>
              </w:rPr>
              <w:t>, Market is Still Tight</w:t>
            </w:r>
          </w:p>
        </w:tc>
      </w:tr>
    </w:tbl>
    <w:p w:rsidR="00577F84" w:rsidRDefault="00577F84" w:rsidP="001F5CBD">
      <w:pPr>
        <w:spacing w:before="120" w:after="120"/>
        <w:ind w:left="-360" w:right="-360"/>
        <w:contextualSpacing/>
        <w:rPr>
          <w:b/>
          <w:bCs/>
          <w:sz w:val="24"/>
          <w:szCs w:val="24"/>
        </w:rPr>
      </w:pPr>
    </w:p>
    <w:p w:rsidR="00577F84" w:rsidRDefault="00577F84" w:rsidP="001F5CBD">
      <w:pPr>
        <w:spacing w:before="120" w:after="120"/>
        <w:ind w:left="-360" w:right="-360"/>
        <w:contextualSpacing/>
        <w:rPr>
          <w:b/>
          <w:bCs/>
          <w:sz w:val="24"/>
          <w:szCs w:val="24"/>
        </w:rPr>
      </w:pPr>
    </w:p>
    <w:p w:rsidR="00577F84" w:rsidRDefault="00577F84" w:rsidP="001F5CBD">
      <w:pPr>
        <w:spacing w:before="120" w:after="120"/>
        <w:ind w:left="-360" w:right="-360"/>
        <w:contextualSpacing/>
        <w:rPr>
          <w:b/>
          <w:bCs/>
          <w:sz w:val="24"/>
          <w:szCs w:val="24"/>
        </w:rPr>
      </w:pPr>
    </w:p>
    <w:p w:rsidR="00577F84" w:rsidRDefault="00577F84" w:rsidP="001F5CBD">
      <w:pPr>
        <w:spacing w:before="120" w:after="120"/>
        <w:ind w:left="-360" w:right="-360"/>
        <w:contextualSpacing/>
        <w:rPr>
          <w:b/>
          <w:bCs/>
          <w:sz w:val="24"/>
          <w:szCs w:val="24"/>
        </w:rPr>
      </w:pPr>
    </w:p>
    <w:p w:rsidR="00577F84" w:rsidRDefault="00577F84" w:rsidP="001F5CBD">
      <w:pPr>
        <w:spacing w:before="120" w:after="120"/>
        <w:ind w:left="-360" w:right="-360"/>
        <w:contextualSpacing/>
        <w:rPr>
          <w:b/>
          <w:bCs/>
          <w:sz w:val="24"/>
          <w:szCs w:val="24"/>
        </w:rPr>
      </w:pPr>
    </w:p>
    <w:p w:rsidR="00E302C4" w:rsidRDefault="00E302C4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E302C4" w:rsidRDefault="00E302C4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tbl>
      <w:tblPr>
        <w:tblpPr w:leftFromText="180" w:rightFromText="180" w:bottomFromText="115" w:vertAnchor="text" w:horzAnchor="margin" w:tblpX="-270" w:tblpY="111"/>
        <w:tblW w:w="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871"/>
        <w:gridCol w:w="810"/>
        <w:gridCol w:w="1170"/>
        <w:gridCol w:w="265"/>
      </w:tblGrid>
      <w:tr w:rsidR="00647C20" w:rsidRPr="00CD4658" w:rsidTr="00647C20">
        <w:trPr>
          <w:trHeight w:val="432"/>
        </w:trPr>
        <w:tc>
          <w:tcPr>
            <w:tcW w:w="4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C20" w:rsidRPr="00CD4658" w:rsidRDefault="00F41449" w:rsidP="00647C20">
            <w:pPr>
              <w:spacing w:line="252" w:lineRule="auto"/>
              <w:ind w:left="-108" w:right="85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June</w:t>
            </w:r>
            <w:r w:rsidR="00647C20" w:rsidRPr="00CD4658">
              <w:rPr>
                <w:rFonts w:ascii="Arial Narrow" w:hAnsi="Arial Narrow"/>
                <w:b/>
              </w:rPr>
              <w:t xml:space="preserve"> Sales</w:t>
            </w:r>
          </w:p>
        </w:tc>
      </w:tr>
      <w:tr w:rsidR="00647C20" w:rsidRPr="00CD4658" w:rsidTr="00647C20">
        <w:trPr>
          <w:gridAfter w:val="1"/>
          <w:wAfter w:w="265" w:type="dxa"/>
          <w:trHeight w:val="288"/>
        </w:trPr>
        <w:tc>
          <w:tcPr>
            <w:tcW w:w="1829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 w:themeFill="accent1" w:themeFillShade="80"/>
            <w:vAlign w:val="center"/>
            <w:hideMark/>
          </w:tcPr>
          <w:p w:rsidR="00647C20" w:rsidRPr="00CD4658" w:rsidRDefault="00647C20" w:rsidP="00647C20">
            <w:pPr>
              <w:ind w:left="175" w:right="100"/>
              <w:rPr>
                <w:b/>
                <w:color w:val="FFFFFF" w:themeColor="background1"/>
              </w:rPr>
            </w:pPr>
            <w:r w:rsidRPr="00CD4658">
              <w:rPr>
                <w:b/>
                <w:color w:val="FFFFFF" w:themeColor="background1"/>
              </w:rPr>
              <w:t>County</w:t>
            </w:r>
          </w:p>
        </w:tc>
        <w:tc>
          <w:tcPr>
            <w:tcW w:w="87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20" w:rsidRPr="00CD4658" w:rsidRDefault="00647C20" w:rsidP="00647C20">
            <w:pPr>
              <w:spacing w:line="207" w:lineRule="atLeast"/>
              <w:ind w:left="44" w:right="62"/>
              <w:rPr>
                <w:color w:val="FFFFFF" w:themeColor="background1"/>
              </w:rPr>
            </w:pPr>
            <w:r w:rsidRPr="00CD4658">
              <w:rPr>
                <w:color w:val="FFFFFF" w:themeColor="background1"/>
              </w:rPr>
              <w:t>201</w:t>
            </w:r>
            <w:r>
              <w:rPr>
                <w:color w:val="FFFFFF" w:themeColor="background1"/>
              </w:rPr>
              <w:t>8</w:t>
            </w:r>
          </w:p>
        </w:tc>
        <w:tc>
          <w:tcPr>
            <w:tcW w:w="81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20" w:rsidRPr="00CD4658" w:rsidRDefault="00647C20" w:rsidP="00647C20">
            <w:pPr>
              <w:spacing w:line="207" w:lineRule="atLeast"/>
              <w:ind w:right="-23"/>
              <w:rPr>
                <w:color w:val="FFFFFF" w:themeColor="background1"/>
              </w:rPr>
            </w:pPr>
            <w:r w:rsidRPr="00CD4658">
              <w:rPr>
                <w:color w:val="FFFFFF" w:themeColor="background1"/>
              </w:rPr>
              <w:t>201</w:t>
            </w:r>
            <w:r>
              <w:rPr>
                <w:color w:val="FFFFFF" w:themeColor="background1"/>
              </w:rPr>
              <w:t>9</w:t>
            </w:r>
          </w:p>
        </w:tc>
        <w:tc>
          <w:tcPr>
            <w:tcW w:w="1170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 w:themeFill="accent1" w:themeFillShade="80"/>
          </w:tcPr>
          <w:p w:rsidR="00647C20" w:rsidRPr="00CD4658" w:rsidRDefault="00647C20" w:rsidP="00647C20">
            <w:pPr>
              <w:ind w:left="89" w:right="90"/>
              <w:rPr>
                <w:color w:val="FFFFFF" w:themeColor="background1"/>
              </w:rPr>
            </w:pPr>
            <w:r w:rsidRPr="00CD4658">
              <w:rPr>
                <w:color w:val="FFFFFF" w:themeColor="background1"/>
              </w:rPr>
              <w:t>% Change</w:t>
            </w:r>
          </w:p>
        </w:tc>
      </w:tr>
      <w:tr w:rsidR="00647C20" w:rsidRPr="00CD4658" w:rsidTr="00647C20">
        <w:trPr>
          <w:gridAfter w:val="1"/>
          <w:wAfter w:w="265" w:type="dxa"/>
          <w:trHeight w:val="28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C20" w:rsidRPr="00CD4658" w:rsidRDefault="00647C20" w:rsidP="00647C20">
            <w:pPr>
              <w:spacing w:line="252" w:lineRule="auto"/>
              <w:ind w:left="62" w:right="100"/>
            </w:pPr>
            <w:r w:rsidRPr="00CD4658">
              <w:t>Milwaukee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7C20" w:rsidRPr="00CD4658" w:rsidRDefault="00F41449" w:rsidP="00647C20">
            <w:pPr>
              <w:spacing w:line="252" w:lineRule="auto"/>
              <w:ind w:left="44" w:right="62"/>
            </w:pPr>
            <w:r>
              <w:t>1,258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7C20" w:rsidRPr="00CD4658" w:rsidRDefault="00F41449" w:rsidP="00647C20">
            <w:pPr>
              <w:spacing w:line="252" w:lineRule="auto"/>
              <w:ind w:right="-23"/>
            </w:pPr>
            <w:r>
              <w:t>1,155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C20" w:rsidRPr="00CD4658" w:rsidRDefault="00647C20" w:rsidP="00F41449">
            <w:pPr>
              <w:spacing w:line="252" w:lineRule="auto"/>
              <w:ind w:right="270"/>
              <w:jc w:val="right"/>
            </w:pPr>
            <w:r w:rsidRPr="00CD4658">
              <w:t>-</w:t>
            </w:r>
            <w:r w:rsidR="00F41449">
              <w:t>8</w:t>
            </w:r>
            <w:r w:rsidRPr="00CD4658">
              <w:t>.</w:t>
            </w:r>
            <w:r w:rsidR="00F41449">
              <w:t>2</w:t>
            </w:r>
            <w:r w:rsidRPr="00CD4658">
              <w:t>%</w:t>
            </w:r>
          </w:p>
        </w:tc>
      </w:tr>
      <w:tr w:rsidR="00647C20" w:rsidRPr="00CD4658" w:rsidTr="00647C20">
        <w:trPr>
          <w:gridAfter w:val="1"/>
          <w:wAfter w:w="265" w:type="dxa"/>
          <w:trHeight w:val="28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C20" w:rsidRPr="00CD4658" w:rsidRDefault="00647C20" w:rsidP="00647C20">
            <w:pPr>
              <w:spacing w:line="252" w:lineRule="auto"/>
              <w:ind w:left="62" w:right="100"/>
            </w:pPr>
            <w:r w:rsidRPr="00CD4658">
              <w:t>Waukesha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F41449" w:rsidP="00647C20">
            <w:pPr>
              <w:spacing w:line="252" w:lineRule="auto"/>
              <w:ind w:left="44" w:right="62"/>
            </w:pPr>
            <w:r>
              <w:t>723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F41449" w:rsidP="00647C20">
            <w:pPr>
              <w:spacing w:line="252" w:lineRule="auto"/>
              <w:ind w:right="-23"/>
            </w:pPr>
            <w:r>
              <w:t>702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647C20" w:rsidRPr="00CD4658" w:rsidRDefault="00647C20" w:rsidP="00647C20">
            <w:pPr>
              <w:spacing w:line="252" w:lineRule="auto"/>
              <w:ind w:right="270"/>
              <w:jc w:val="right"/>
            </w:pPr>
            <w:r w:rsidRPr="00CD4658">
              <w:t>-</w:t>
            </w:r>
            <w:r w:rsidR="00F41449">
              <w:t>2.9</w:t>
            </w:r>
            <w:r w:rsidRPr="00CD4658">
              <w:t>%</w:t>
            </w:r>
          </w:p>
        </w:tc>
      </w:tr>
      <w:tr w:rsidR="00647C20" w:rsidRPr="00CD4658" w:rsidTr="00647C20">
        <w:trPr>
          <w:gridAfter w:val="1"/>
          <w:wAfter w:w="265" w:type="dxa"/>
          <w:trHeight w:val="28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C20" w:rsidRPr="00CD4658" w:rsidRDefault="00647C20" w:rsidP="00647C20">
            <w:pPr>
              <w:spacing w:line="252" w:lineRule="auto"/>
              <w:ind w:left="62" w:right="100"/>
            </w:pPr>
            <w:r w:rsidRPr="00CD4658">
              <w:t>Washington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F41449" w:rsidP="00647C20">
            <w:pPr>
              <w:spacing w:line="252" w:lineRule="auto"/>
              <w:ind w:left="44" w:right="62"/>
            </w:pPr>
            <w:r>
              <w:t>237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F41449" w:rsidP="00647C20">
            <w:pPr>
              <w:spacing w:line="252" w:lineRule="auto"/>
              <w:ind w:right="-23"/>
            </w:pPr>
            <w:r>
              <w:t>222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C20" w:rsidRPr="00CD4658" w:rsidRDefault="00647C20" w:rsidP="00F41449">
            <w:pPr>
              <w:spacing w:line="252" w:lineRule="auto"/>
              <w:ind w:right="270"/>
              <w:jc w:val="right"/>
            </w:pPr>
            <w:r>
              <w:t>-</w:t>
            </w:r>
            <w:r w:rsidR="00F41449">
              <w:t>6</w:t>
            </w:r>
            <w:r>
              <w:t>.</w:t>
            </w:r>
            <w:r w:rsidR="00F41449">
              <w:t>3</w:t>
            </w:r>
            <w:r w:rsidRPr="00CD4658">
              <w:t>%</w:t>
            </w:r>
          </w:p>
        </w:tc>
      </w:tr>
      <w:tr w:rsidR="00647C20" w:rsidRPr="00CD4658" w:rsidTr="00647C20">
        <w:trPr>
          <w:gridAfter w:val="1"/>
          <w:wAfter w:w="265" w:type="dxa"/>
          <w:trHeight w:val="288"/>
        </w:trPr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C20" w:rsidRPr="00CD4658" w:rsidRDefault="00647C20" w:rsidP="00647C20">
            <w:pPr>
              <w:spacing w:line="252" w:lineRule="auto"/>
              <w:ind w:left="62" w:right="100"/>
            </w:pPr>
            <w:r w:rsidRPr="00CD4658">
              <w:t>Ozaukee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F41449" w:rsidP="00647C20">
            <w:pPr>
              <w:spacing w:line="252" w:lineRule="auto"/>
              <w:ind w:left="44" w:right="62"/>
            </w:pPr>
            <w:r>
              <w:t>151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F41449" w:rsidP="00647C20">
            <w:pPr>
              <w:spacing w:line="252" w:lineRule="auto"/>
              <w:ind w:right="-23"/>
            </w:pPr>
            <w:r>
              <w:t>153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647C20" w:rsidRPr="00CD4658" w:rsidRDefault="00F41449" w:rsidP="00F41449">
            <w:pPr>
              <w:spacing w:line="252" w:lineRule="auto"/>
              <w:ind w:right="270"/>
              <w:jc w:val="right"/>
            </w:pPr>
            <w:r>
              <w:t>1</w:t>
            </w:r>
            <w:r w:rsidR="00647C20">
              <w:t>.</w:t>
            </w:r>
            <w:r>
              <w:t>3</w:t>
            </w:r>
            <w:r w:rsidR="00647C20" w:rsidRPr="00CD4658">
              <w:t>%</w:t>
            </w:r>
          </w:p>
        </w:tc>
      </w:tr>
      <w:tr w:rsidR="00647C20" w:rsidRPr="00CD4658" w:rsidTr="00647C20">
        <w:trPr>
          <w:gridAfter w:val="1"/>
          <w:wAfter w:w="265" w:type="dxa"/>
          <w:trHeight w:val="288"/>
        </w:trPr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C20" w:rsidRPr="00CD4658" w:rsidRDefault="00647C20" w:rsidP="00647C20">
            <w:pPr>
              <w:spacing w:line="252" w:lineRule="auto"/>
              <w:ind w:left="62" w:right="100"/>
            </w:pPr>
            <w:r w:rsidRPr="00CD4658">
              <w:t>4 County Area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F41449" w:rsidP="00F41449">
            <w:pPr>
              <w:spacing w:line="252" w:lineRule="auto"/>
              <w:ind w:left="44" w:right="62"/>
            </w:pPr>
            <w:r>
              <w:t>2</w:t>
            </w:r>
            <w:r w:rsidR="00647C20">
              <w:t>,</w:t>
            </w:r>
            <w:r>
              <w:t>369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F41449" w:rsidP="00F41449">
            <w:pPr>
              <w:spacing w:line="252" w:lineRule="auto"/>
              <w:ind w:right="-23"/>
            </w:pPr>
            <w:r>
              <w:t>2</w:t>
            </w:r>
            <w:r w:rsidR="00647C20">
              <w:t>,</w:t>
            </w:r>
            <w:r>
              <w:t>232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C20" w:rsidRPr="00CD4658" w:rsidRDefault="00F41449" w:rsidP="00647C20">
            <w:pPr>
              <w:spacing w:line="252" w:lineRule="auto"/>
              <w:ind w:right="270"/>
              <w:jc w:val="right"/>
            </w:pPr>
            <w:r>
              <w:t>-5.8</w:t>
            </w:r>
            <w:r w:rsidR="00647C20" w:rsidRPr="00CD4658">
              <w:t>%</w:t>
            </w:r>
          </w:p>
        </w:tc>
      </w:tr>
      <w:tr w:rsidR="00647C20" w:rsidRPr="00CD4658" w:rsidTr="00647C20">
        <w:trPr>
          <w:gridAfter w:val="1"/>
          <w:wAfter w:w="265" w:type="dxa"/>
          <w:trHeight w:val="80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647C20" w:rsidP="00647C20">
            <w:pPr>
              <w:spacing w:line="252" w:lineRule="auto"/>
              <w:ind w:left="62" w:right="100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647C20" w:rsidP="00647C20">
            <w:pPr>
              <w:spacing w:line="252" w:lineRule="auto"/>
              <w:ind w:left="44" w:right="62"/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647C20" w:rsidP="00647C20">
            <w:pPr>
              <w:spacing w:line="252" w:lineRule="auto"/>
              <w:ind w:right="-23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647C20" w:rsidRPr="00CD4658" w:rsidRDefault="00647C20" w:rsidP="00647C20">
            <w:pPr>
              <w:spacing w:line="252" w:lineRule="auto"/>
              <w:ind w:right="270"/>
              <w:jc w:val="right"/>
              <w:rPr>
                <w:sz w:val="10"/>
                <w:szCs w:val="10"/>
              </w:rPr>
            </w:pPr>
          </w:p>
        </w:tc>
      </w:tr>
      <w:tr w:rsidR="00647C20" w:rsidRPr="00CD4658" w:rsidTr="00647C20">
        <w:trPr>
          <w:gridAfter w:val="1"/>
          <w:wAfter w:w="265" w:type="dxa"/>
          <w:trHeight w:val="28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647C20" w:rsidP="00647C20">
            <w:pPr>
              <w:spacing w:line="252" w:lineRule="auto"/>
              <w:ind w:left="62" w:right="100"/>
            </w:pPr>
            <w:r w:rsidRPr="00CD4658">
              <w:t>Racine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F41449" w:rsidP="00647C20">
            <w:pPr>
              <w:spacing w:line="252" w:lineRule="auto"/>
              <w:ind w:left="44" w:right="62"/>
            </w:pPr>
            <w:r>
              <w:t>290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F41449" w:rsidP="00647C20">
            <w:pPr>
              <w:spacing w:line="252" w:lineRule="auto"/>
              <w:ind w:right="-23"/>
            </w:pPr>
            <w:r>
              <w:t>279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C20" w:rsidRPr="00CD4658" w:rsidRDefault="00647C20" w:rsidP="00F41449">
            <w:pPr>
              <w:spacing w:line="252" w:lineRule="auto"/>
              <w:ind w:right="270"/>
              <w:jc w:val="right"/>
            </w:pPr>
            <w:r>
              <w:t>-</w:t>
            </w:r>
            <w:r w:rsidR="00F41449">
              <w:t>3</w:t>
            </w:r>
            <w:r>
              <w:t>.</w:t>
            </w:r>
            <w:r w:rsidR="00F41449">
              <w:t>8</w:t>
            </w:r>
            <w:r w:rsidRPr="00CD4658">
              <w:t>%</w:t>
            </w:r>
          </w:p>
        </w:tc>
      </w:tr>
      <w:tr w:rsidR="00647C20" w:rsidRPr="00CD4658" w:rsidTr="00647C20">
        <w:trPr>
          <w:gridAfter w:val="1"/>
          <w:wAfter w:w="265" w:type="dxa"/>
          <w:trHeight w:val="28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647C20" w:rsidP="00647C20">
            <w:pPr>
              <w:spacing w:line="252" w:lineRule="auto"/>
              <w:ind w:left="62" w:right="100"/>
            </w:pPr>
            <w:r w:rsidRPr="00CD4658">
              <w:t>Kenosha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F41449" w:rsidP="00647C20">
            <w:pPr>
              <w:spacing w:line="252" w:lineRule="auto"/>
              <w:ind w:left="44" w:right="62"/>
            </w:pPr>
            <w:r>
              <w:t>282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F41449" w:rsidP="00647C20">
            <w:pPr>
              <w:spacing w:line="252" w:lineRule="auto"/>
              <w:ind w:right="-23"/>
            </w:pPr>
            <w:r>
              <w:t>228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647C20" w:rsidRPr="00CD4658" w:rsidRDefault="00F41449" w:rsidP="00647C20">
            <w:pPr>
              <w:spacing w:line="252" w:lineRule="auto"/>
              <w:ind w:right="270"/>
              <w:jc w:val="right"/>
            </w:pPr>
            <w:r>
              <w:t>-1</w:t>
            </w:r>
            <w:r w:rsidR="00647C20">
              <w:t>9.1</w:t>
            </w:r>
            <w:r w:rsidR="00647C20" w:rsidRPr="00CD4658">
              <w:t>%</w:t>
            </w:r>
          </w:p>
        </w:tc>
      </w:tr>
      <w:tr w:rsidR="00647C20" w:rsidRPr="00CD4658" w:rsidTr="00647C20">
        <w:trPr>
          <w:gridAfter w:val="1"/>
          <w:wAfter w:w="265" w:type="dxa"/>
          <w:trHeight w:val="288"/>
        </w:trPr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647C20" w:rsidP="00647C20">
            <w:pPr>
              <w:spacing w:line="252" w:lineRule="auto"/>
              <w:ind w:left="62" w:right="100"/>
            </w:pPr>
            <w:r w:rsidRPr="00CD4658">
              <w:t>Walworth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F41449" w:rsidP="00647C20">
            <w:pPr>
              <w:spacing w:line="252" w:lineRule="auto"/>
              <w:ind w:left="44" w:right="62"/>
            </w:pPr>
            <w:r>
              <w:t>159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449" w:rsidRPr="00CD4658" w:rsidRDefault="00F41449" w:rsidP="00647C20">
            <w:pPr>
              <w:spacing w:line="252" w:lineRule="auto"/>
              <w:ind w:right="-23"/>
            </w:pPr>
            <w:r>
              <w:t>185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C20" w:rsidRPr="00CD4658" w:rsidRDefault="00F41449" w:rsidP="00F41449">
            <w:pPr>
              <w:spacing w:line="252" w:lineRule="auto"/>
              <w:ind w:right="270"/>
              <w:jc w:val="right"/>
            </w:pPr>
            <w:r>
              <w:t>16</w:t>
            </w:r>
            <w:r w:rsidR="00647C20">
              <w:t>.</w:t>
            </w:r>
            <w:r>
              <w:t>4</w:t>
            </w:r>
            <w:r w:rsidR="00647C20" w:rsidRPr="00CD4658">
              <w:t>%</w:t>
            </w:r>
          </w:p>
        </w:tc>
      </w:tr>
      <w:tr w:rsidR="00647C20" w:rsidRPr="00CD4658" w:rsidTr="00647C20">
        <w:trPr>
          <w:gridAfter w:val="1"/>
          <w:wAfter w:w="265" w:type="dxa"/>
          <w:trHeight w:val="288"/>
        </w:trPr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647C20" w:rsidP="00647C20">
            <w:pPr>
              <w:spacing w:line="252" w:lineRule="auto"/>
              <w:ind w:left="62" w:right="100"/>
            </w:pPr>
            <w:r w:rsidRPr="00CD4658">
              <w:t>7 County Area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F41449" w:rsidP="00F41449">
            <w:pPr>
              <w:spacing w:line="252" w:lineRule="auto"/>
              <w:ind w:left="44" w:right="62"/>
            </w:pPr>
            <w:r>
              <w:t>3</w:t>
            </w:r>
            <w:r w:rsidR="00647C20">
              <w:t>,</w:t>
            </w:r>
            <w:r>
              <w:t>1</w:t>
            </w:r>
            <w:r w:rsidR="00647C20"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F41449" w:rsidP="00F41449">
            <w:pPr>
              <w:spacing w:line="252" w:lineRule="auto"/>
              <w:ind w:right="-23"/>
            </w:pPr>
            <w:r>
              <w:t>2</w:t>
            </w:r>
            <w:r w:rsidR="00647C20">
              <w:t>,</w:t>
            </w:r>
            <w:r>
              <w:t>924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647C20" w:rsidRPr="00CD4658" w:rsidRDefault="00647C20" w:rsidP="000D06A6">
            <w:pPr>
              <w:spacing w:line="252" w:lineRule="auto"/>
              <w:ind w:right="270"/>
              <w:jc w:val="right"/>
            </w:pPr>
            <w:r>
              <w:t>-5.</w:t>
            </w:r>
            <w:r w:rsidR="000D06A6">
              <w:t>7</w:t>
            </w:r>
            <w:r w:rsidRPr="00CD4658">
              <w:t>%</w:t>
            </w:r>
          </w:p>
        </w:tc>
      </w:tr>
    </w:tbl>
    <w:p w:rsidR="00F95E80" w:rsidRDefault="00F41449" w:rsidP="001F5CBD">
      <w:pPr>
        <w:spacing w:before="120" w:after="120"/>
        <w:ind w:left="-360" w:right="-360"/>
        <w:contextualSpacing/>
      </w:pPr>
      <w:r>
        <w:t>July 12</w:t>
      </w:r>
      <w:r w:rsidR="00127EF0" w:rsidRPr="00CD4658">
        <w:t>, 201</w:t>
      </w:r>
      <w:r w:rsidR="0008180B" w:rsidRPr="00CD4658">
        <w:t>9</w:t>
      </w:r>
      <w:r w:rsidR="00127EF0" w:rsidRPr="00CD4658">
        <w:t xml:space="preserve"> – Home sales were </w:t>
      </w:r>
      <w:r w:rsidR="00D83A25" w:rsidRPr="00CD4658">
        <w:t xml:space="preserve">down </w:t>
      </w:r>
      <w:r w:rsidR="00F95E80">
        <w:t>5</w:t>
      </w:r>
      <w:r w:rsidR="00F4138C" w:rsidRPr="00CD4658">
        <w:t>.</w:t>
      </w:r>
      <w:r w:rsidR="00F95E80">
        <w:t>8</w:t>
      </w:r>
      <w:r w:rsidR="00127EF0" w:rsidRPr="00CD4658">
        <w:t xml:space="preserve">% </w:t>
      </w:r>
      <w:r w:rsidR="00A2539A" w:rsidRPr="00CD4658">
        <w:t xml:space="preserve">in </w:t>
      </w:r>
      <w:r>
        <w:t>June</w:t>
      </w:r>
      <w:r w:rsidR="00A2539A" w:rsidRPr="00CD4658">
        <w:t xml:space="preserve"> </w:t>
      </w:r>
      <w:r w:rsidR="00127EF0" w:rsidRPr="00CD4658">
        <w:t>in the</w:t>
      </w:r>
      <w:r w:rsidR="0092306F" w:rsidRPr="00CD4658">
        <w:t xml:space="preserve"> Metropolitan Milwaukee market</w:t>
      </w:r>
      <w:r w:rsidR="00EC789A" w:rsidRPr="00CD4658">
        <w:t xml:space="preserve"> over the same period in 201</w:t>
      </w:r>
      <w:r w:rsidR="00BD6964">
        <w:t>8</w:t>
      </w:r>
      <w:r w:rsidR="0092306F" w:rsidRPr="00CD4658">
        <w:t>.</w:t>
      </w:r>
      <w:r w:rsidR="00853C6E" w:rsidRPr="00CD4658">
        <w:t xml:space="preserve">  </w:t>
      </w:r>
      <w:r w:rsidR="00A2539A" w:rsidRPr="00CD4658">
        <w:t xml:space="preserve">The </w:t>
      </w:r>
      <w:r w:rsidR="00F95E80">
        <w:t>2</w:t>
      </w:r>
      <w:r w:rsidR="00F4138C" w:rsidRPr="00CD4658">
        <w:t>,</w:t>
      </w:r>
      <w:r w:rsidR="00F95E80">
        <w:t>232</w:t>
      </w:r>
      <w:r w:rsidR="00A2539A" w:rsidRPr="00CD4658">
        <w:t xml:space="preserve"> </w:t>
      </w:r>
      <w:r w:rsidR="00E302C4" w:rsidRPr="00CD4658">
        <w:t>homes</w:t>
      </w:r>
      <w:r w:rsidR="00A2539A" w:rsidRPr="00CD4658">
        <w:t xml:space="preserve"> sold </w:t>
      </w:r>
      <w:r w:rsidR="00E302C4" w:rsidRPr="00CD4658">
        <w:t>in</w:t>
      </w:r>
      <w:r w:rsidR="00A2539A" w:rsidRPr="00CD4658">
        <w:t xml:space="preserve"> </w:t>
      </w:r>
      <w:r>
        <w:t>June</w:t>
      </w:r>
      <w:r w:rsidR="00A2539A" w:rsidRPr="00CD4658">
        <w:t xml:space="preserve"> </w:t>
      </w:r>
      <w:r w:rsidR="00816599">
        <w:t>were</w:t>
      </w:r>
      <w:r w:rsidR="00A2539A" w:rsidRPr="00CD4658">
        <w:t xml:space="preserve"> </w:t>
      </w:r>
      <w:r w:rsidR="00F95E80">
        <w:t>137</w:t>
      </w:r>
      <w:r w:rsidR="00E456F1" w:rsidRPr="00CD4658">
        <w:t xml:space="preserve"> fewer</w:t>
      </w:r>
      <w:r w:rsidR="00A2539A" w:rsidRPr="00CD4658">
        <w:t xml:space="preserve"> than in </w:t>
      </w:r>
      <w:r>
        <w:t>June</w:t>
      </w:r>
      <w:r w:rsidR="00A2539A" w:rsidRPr="00CD4658">
        <w:t xml:space="preserve"> 201</w:t>
      </w:r>
      <w:r w:rsidR="00BD6964">
        <w:t>8</w:t>
      </w:r>
      <w:r w:rsidR="00A2539A" w:rsidRPr="00CD4658">
        <w:t xml:space="preserve">, when </w:t>
      </w:r>
      <w:r w:rsidR="00F95E80">
        <w:t>2</w:t>
      </w:r>
      <w:r w:rsidR="0040188A" w:rsidRPr="00CD4658">
        <w:t>,</w:t>
      </w:r>
      <w:r w:rsidR="00F95E80">
        <w:t>369</w:t>
      </w:r>
      <w:r w:rsidR="00A2539A" w:rsidRPr="00CD4658">
        <w:t xml:space="preserve"> units sold.</w:t>
      </w:r>
    </w:p>
    <w:p w:rsidR="00F95E80" w:rsidRDefault="00F95E80" w:rsidP="001F5CBD">
      <w:pPr>
        <w:spacing w:before="120" w:after="120"/>
        <w:ind w:left="-360" w:right="-360"/>
        <w:contextualSpacing/>
      </w:pPr>
    </w:p>
    <w:p w:rsidR="00FE7EB4" w:rsidRDefault="00FE7EB4" w:rsidP="001F5CBD">
      <w:pPr>
        <w:spacing w:before="120" w:after="120"/>
        <w:ind w:left="-360" w:right="-360"/>
        <w:contextualSpacing/>
      </w:pPr>
      <w:r w:rsidRPr="00CD4658">
        <w:t xml:space="preserve">The drop </w:t>
      </w:r>
      <w:r w:rsidR="00310D67">
        <w:t>is a</w:t>
      </w:r>
      <w:r w:rsidR="00181579">
        <w:t>n</w:t>
      </w:r>
      <w:r w:rsidR="00310D67">
        <w:t xml:space="preserve"> </w:t>
      </w:r>
      <w:r w:rsidR="00181579">
        <w:t>extension</w:t>
      </w:r>
      <w:r w:rsidR="00181579" w:rsidRPr="00CD4658">
        <w:t xml:space="preserve"> </w:t>
      </w:r>
      <w:r w:rsidR="00181579">
        <w:t>of a slowing market the Metropolitan and Southeastern Wisconsin areas have experienced since May 2018.</w:t>
      </w:r>
      <w:r w:rsidR="00F95E80">
        <w:t xml:space="preserve"> Since then, the market has only seen 3 months with positive home sales.</w:t>
      </w:r>
    </w:p>
    <w:p w:rsidR="0031621B" w:rsidRDefault="0031621B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tbl>
      <w:tblPr>
        <w:tblpPr w:leftFromText="180" w:rightFromText="180" w:bottomFromText="115" w:vertAnchor="text" w:horzAnchor="margin" w:tblpX="-270" w:tblpY="1196"/>
        <w:tblW w:w="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935"/>
        <w:gridCol w:w="865"/>
        <w:gridCol w:w="1170"/>
        <w:gridCol w:w="265"/>
      </w:tblGrid>
      <w:tr w:rsidR="00816599" w:rsidRPr="00C41C9C" w:rsidTr="00816599">
        <w:trPr>
          <w:trHeight w:val="432"/>
        </w:trPr>
        <w:tc>
          <w:tcPr>
            <w:tcW w:w="4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99" w:rsidRPr="0031621B" w:rsidRDefault="00816599" w:rsidP="00816599">
            <w:pPr>
              <w:spacing w:line="252" w:lineRule="auto"/>
              <w:ind w:left="-108" w:right="85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Pr="00626122">
              <w:rPr>
                <w:rFonts w:ascii="Arial Narrow" w:hAnsi="Arial Narrow"/>
                <w:b/>
                <w:vertAlign w:val="superscript"/>
              </w:rPr>
              <w:t>nd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31621B">
              <w:rPr>
                <w:rFonts w:ascii="Arial Narrow" w:hAnsi="Arial Narrow"/>
                <w:b/>
              </w:rPr>
              <w:t>Quarter Sales</w:t>
            </w:r>
            <w:r w:rsidRPr="0031621B">
              <w:rPr>
                <w:rFonts w:ascii="Arial Narrow" w:hAnsi="Arial Narrow"/>
              </w:rPr>
              <w:t xml:space="preserve"> (Jan 1 – </w:t>
            </w:r>
            <w:r>
              <w:rPr>
                <w:rFonts w:ascii="Arial Narrow" w:hAnsi="Arial Narrow"/>
              </w:rPr>
              <w:t>Jun</w:t>
            </w:r>
            <w:r w:rsidRPr="0031621B">
              <w:rPr>
                <w:rFonts w:ascii="Arial Narrow" w:hAnsi="Arial Narrow"/>
              </w:rPr>
              <w:t xml:space="preserve"> 3</w:t>
            </w:r>
            <w:r>
              <w:rPr>
                <w:rFonts w:ascii="Arial Narrow" w:hAnsi="Arial Narrow"/>
              </w:rPr>
              <w:t>0</w:t>
            </w:r>
            <w:r w:rsidRPr="0031621B">
              <w:rPr>
                <w:rFonts w:ascii="Arial Narrow" w:hAnsi="Arial Narrow"/>
              </w:rPr>
              <w:t>)</w:t>
            </w:r>
          </w:p>
        </w:tc>
      </w:tr>
      <w:tr w:rsidR="00816599" w:rsidRPr="00C41C9C" w:rsidTr="00816599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 w:themeFill="accent1" w:themeFillShade="80"/>
            <w:vAlign w:val="center"/>
            <w:hideMark/>
          </w:tcPr>
          <w:p w:rsidR="00816599" w:rsidRPr="0031621B" w:rsidRDefault="00816599" w:rsidP="00816599">
            <w:pPr>
              <w:ind w:left="175" w:right="100"/>
              <w:rPr>
                <w:b/>
                <w:color w:val="FFFFFF" w:themeColor="background1"/>
              </w:rPr>
            </w:pPr>
            <w:r w:rsidRPr="0031621B">
              <w:rPr>
                <w:b/>
                <w:color w:val="FFFFFF" w:themeColor="background1"/>
              </w:rPr>
              <w:t>County</w:t>
            </w:r>
          </w:p>
        </w:tc>
        <w:tc>
          <w:tcPr>
            <w:tcW w:w="935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599" w:rsidRPr="0031621B" w:rsidRDefault="00816599" w:rsidP="00816599">
            <w:pPr>
              <w:spacing w:line="207" w:lineRule="atLeast"/>
              <w:ind w:left="44" w:right="62"/>
              <w:rPr>
                <w:color w:val="FFFFFF" w:themeColor="background1"/>
              </w:rPr>
            </w:pPr>
            <w:r w:rsidRPr="0031621B">
              <w:rPr>
                <w:color w:val="FFFFFF" w:themeColor="background1"/>
              </w:rPr>
              <w:t>201</w:t>
            </w:r>
            <w:r>
              <w:rPr>
                <w:color w:val="FFFFFF" w:themeColor="background1"/>
              </w:rPr>
              <w:t>8</w:t>
            </w:r>
          </w:p>
        </w:tc>
        <w:tc>
          <w:tcPr>
            <w:tcW w:w="865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599" w:rsidRPr="0031621B" w:rsidRDefault="00816599" w:rsidP="00816599">
            <w:pPr>
              <w:spacing w:line="207" w:lineRule="atLeast"/>
              <w:ind w:right="-23"/>
              <w:rPr>
                <w:color w:val="FFFFFF" w:themeColor="background1"/>
              </w:rPr>
            </w:pPr>
            <w:r w:rsidRPr="0031621B">
              <w:rPr>
                <w:color w:val="FFFFFF" w:themeColor="background1"/>
              </w:rPr>
              <w:t>201</w:t>
            </w:r>
            <w:r>
              <w:rPr>
                <w:color w:val="FFFFFF" w:themeColor="background1"/>
              </w:rPr>
              <w:t>9</w:t>
            </w:r>
          </w:p>
        </w:tc>
        <w:tc>
          <w:tcPr>
            <w:tcW w:w="1170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 w:themeFill="accent1" w:themeFillShade="80"/>
          </w:tcPr>
          <w:p w:rsidR="00816599" w:rsidRPr="0031621B" w:rsidRDefault="00816599" w:rsidP="00816599">
            <w:pPr>
              <w:ind w:left="89" w:right="90"/>
              <w:rPr>
                <w:color w:val="FFFFFF" w:themeColor="background1"/>
              </w:rPr>
            </w:pPr>
            <w:r w:rsidRPr="0031621B">
              <w:rPr>
                <w:color w:val="FFFFFF" w:themeColor="background1"/>
              </w:rPr>
              <w:t>% Change</w:t>
            </w:r>
          </w:p>
        </w:tc>
      </w:tr>
      <w:tr w:rsidR="00816599" w:rsidRPr="00C41C9C" w:rsidTr="00816599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99" w:rsidRPr="0031621B" w:rsidRDefault="00816599" w:rsidP="00816599">
            <w:pPr>
              <w:spacing w:line="252" w:lineRule="auto"/>
              <w:ind w:left="62" w:right="100"/>
            </w:pPr>
            <w:r w:rsidRPr="0031621B">
              <w:t>Milwaukee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6599" w:rsidRPr="0031621B" w:rsidRDefault="00816599" w:rsidP="00816599">
            <w:pPr>
              <w:spacing w:line="252" w:lineRule="auto"/>
              <w:ind w:left="44" w:right="62"/>
            </w:pPr>
            <w:r w:rsidRPr="000D06A6">
              <w:t>5</w:t>
            </w:r>
            <w:r>
              <w:t>,</w:t>
            </w:r>
            <w:r w:rsidRPr="000D06A6">
              <w:t>886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6599" w:rsidRPr="0031621B" w:rsidRDefault="00816599" w:rsidP="00816599">
            <w:pPr>
              <w:spacing w:line="252" w:lineRule="auto"/>
              <w:ind w:right="-23"/>
            </w:pPr>
            <w:r>
              <w:t>5,520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599" w:rsidRPr="0031621B" w:rsidRDefault="00816599" w:rsidP="00816599">
            <w:pPr>
              <w:spacing w:line="252" w:lineRule="auto"/>
              <w:ind w:right="360"/>
              <w:jc w:val="right"/>
            </w:pPr>
            <w:r w:rsidRPr="0031621B">
              <w:t>-</w:t>
            </w:r>
            <w:r>
              <w:t>6</w:t>
            </w:r>
            <w:r w:rsidRPr="0031621B">
              <w:t>.</w:t>
            </w:r>
            <w:r>
              <w:t>2</w:t>
            </w:r>
            <w:r w:rsidRPr="0031621B">
              <w:t>%</w:t>
            </w:r>
          </w:p>
        </w:tc>
      </w:tr>
      <w:tr w:rsidR="00816599" w:rsidRPr="00C41C9C" w:rsidTr="00816599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99" w:rsidRPr="0031621B" w:rsidRDefault="00816599" w:rsidP="00816599">
            <w:pPr>
              <w:spacing w:line="252" w:lineRule="auto"/>
              <w:ind w:left="62" w:right="100"/>
            </w:pPr>
            <w:r w:rsidRPr="0031621B">
              <w:t>Waukesha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99" w:rsidRPr="0031621B" w:rsidRDefault="00816599" w:rsidP="00816599">
            <w:pPr>
              <w:spacing w:line="252" w:lineRule="auto"/>
              <w:ind w:left="44" w:right="62"/>
            </w:pPr>
            <w:r>
              <w:t>2,730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99" w:rsidRPr="0031621B" w:rsidRDefault="00816599" w:rsidP="00816599">
            <w:pPr>
              <w:spacing w:line="252" w:lineRule="auto"/>
              <w:ind w:right="-23"/>
            </w:pPr>
            <w:r>
              <w:t>2,737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816599" w:rsidRPr="0031621B" w:rsidRDefault="00816599" w:rsidP="00816599">
            <w:pPr>
              <w:spacing w:line="252" w:lineRule="auto"/>
              <w:ind w:right="360"/>
              <w:jc w:val="right"/>
            </w:pPr>
            <w:r>
              <w:t>0.3</w:t>
            </w:r>
            <w:r w:rsidRPr="0031621B">
              <w:t>%</w:t>
            </w:r>
          </w:p>
        </w:tc>
      </w:tr>
      <w:tr w:rsidR="00816599" w:rsidRPr="00C41C9C" w:rsidTr="00816599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99" w:rsidRPr="0031621B" w:rsidRDefault="00816599" w:rsidP="00816599">
            <w:pPr>
              <w:spacing w:line="252" w:lineRule="auto"/>
              <w:ind w:left="62" w:right="100"/>
            </w:pPr>
            <w:r w:rsidRPr="0031621B">
              <w:t>Washington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99" w:rsidRPr="0031621B" w:rsidRDefault="00816599" w:rsidP="00816599">
            <w:pPr>
              <w:spacing w:line="252" w:lineRule="auto"/>
              <w:ind w:left="44" w:right="62"/>
            </w:pPr>
            <w:r>
              <w:t>995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99" w:rsidRPr="0031621B" w:rsidRDefault="00816599" w:rsidP="00816599">
            <w:pPr>
              <w:spacing w:line="252" w:lineRule="auto"/>
              <w:ind w:right="-23"/>
            </w:pPr>
            <w:r>
              <w:t>888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599" w:rsidRPr="0031621B" w:rsidRDefault="00816599" w:rsidP="00816599">
            <w:pPr>
              <w:spacing w:line="252" w:lineRule="auto"/>
              <w:ind w:right="360"/>
              <w:jc w:val="right"/>
            </w:pPr>
            <w:r>
              <w:t>-10.8</w:t>
            </w:r>
            <w:r w:rsidRPr="0031621B">
              <w:t>%</w:t>
            </w:r>
          </w:p>
        </w:tc>
      </w:tr>
      <w:tr w:rsidR="00816599" w:rsidRPr="00C41C9C" w:rsidTr="00816599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99" w:rsidRPr="0031621B" w:rsidRDefault="00816599" w:rsidP="00816599">
            <w:pPr>
              <w:spacing w:line="252" w:lineRule="auto"/>
              <w:ind w:left="62" w:right="100"/>
            </w:pPr>
            <w:r w:rsidRPr="0031621B">
              <w:t>Ozaukee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99" w:rsidRPr="0031621B" w:rsidRDefault="00816599" w:rsidP="00816599">
            <w:pPr>
              <w:spacing w:line="252" w:lineRule="auto"/>
              <w:ind w:left="44" w:right="62"/>
            </w:pPr>
            <w:r>
              <w:t>636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99" w:rsidRPr="0031621B" w:rsidRDefault="00816599" w:rsidP="00816599">
            <w:pPr>
              <w:spacing w:line="252" w:lineRule="auto"/>
              <w:ind w:right="-23"/>
            </w:pPr>
            <w:r>
              <w:t>593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16599" w:rsidRPr="0031621B" w:rsidRDefault="00816599" w:rsidP="00816599">
            <w:pPr>
              <w:spacing w:line="252" w:lineRule="auto"/>
              <w:ind w:right="360"/>
              <w:jc w:val="right"/>
            </w:pPr>
            <w:r>
              <w:t>-6.8</w:t>
            </w:r>
            <w:r w:rsidRPr="0031621B">
              <w:t>%</w:t>
            </w:r>
          </w:p>
        </w:tc>
      </w:tr>
      <w:tr w:rsidR="00816599" w:rsidRPr="00C41C9C" w:rsidTr="00816599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99" w:rsidRPr="0031621B" w:rsidRDefault="00816599" w:rsidP="00816599">
            <w:pPr>
              <w:spacing w:line="252" w:lineRule="auto"/>
              <w:ind w:left="62" w:right="100"/>
            </w:pPr>
            <w:r w:rsidRPr="0031621B">
              <w:t>4 County Area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99" w:rsidRPr="0031621B" w:rsidRDefault="00816599" w:rsidP="00816599">
            <w:pPr>
              <w:spacing w:line="252" w:lineRule="auto"/>
              <w:ind w:left="44" w:right="62"/>
            </w:pPr>
            <w:r>
              <w:t>10,247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99" w:rsidRPr="0031621B" w:rsidRDefault="00816599" w:rsidP="00816599">
            <w:pPr>
              <w:spacing w:line="252" w:lineRule="auto"/>
              <w:ind w:right="-23"/>
            </w:pPr>
            <w:r>
              <w:t>9,738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599" w:rsidRPr="0031621B" w:rsidRDefault="00816599" w:rsidP="00816599">
            <w:pPr>
              <w:spacing w:line="252" w:lineRule="auto"/>
              <w:ind w:right="360"/>
              <w:jc w:val="right"/>
            </w:pPr>
            <w:r>
              <w:t>-5.0</w:t>
            </w:r>
            <w:r w:rsidRPr="0031621B">
              <w:t>%</w:t>
            </w:r>
          </w:p>
        </w:tc>
      </w:tr>
      <w:tr w:rsidR="00816599" w:rsidRPr="00C41C9C" w:rsidTr="00816599">
        <w:trPr>
          <w:gridAfter w:val="1"/>
          <w:wAfter w:w="265" w:type="dxa"/>
          <w:trHeight w:val="179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99" w:rsidRPr="00156337" w:rsidRDefault="00816599" w:rsidP="00816599">
            <w:pPr>
              <w:spacing w:line="252" w:lineRule="auto"/>
              <w:ind w:left="62" w:right="100"/>
              <w:rPr>
                <w:sz w:val="10"/>
                <w:szCs w:val="1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99" w:rsidRPr="00156337" w:rsidRDefault="00816599" w:rsidP="00816599">
            <w:pPr>
              <w:spacing w:line="252" w:lineRule="auto"/>
              <w:ind w:left="44" w:right="62"/>
              <w:rPr>
                <w:sz w:val="10"/>
                <w:szCs w:val="1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99" w:rsidRPr="00156337" w:rsidRDefault="00816599" w:rsidP="00816599">
            <w:pPr>
              <w:spacing w:line="252" w:lineRule="auto"/>
              <w:ind w:right="-23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816599" w:rsidRPr="00156337" w:rsidRDefault="00816599" w:rsidP="00816599">
            <w:pPr>
              <w:spacing w:line="252" w:lineRule="auto"/>
              <w:ind w:right="360"/>
              <w:jc w:val="right"/>
              <w:rPr>
                <w:sz w:val="10"/>
                <w:szCs w:val="10"/>
              </w:rPr>
            </w:pPr>
          </w:p>
        </w:tc>
      </w:tr>
      <w:tr w:rsidR="00816599" w:rsidRPr="00C41C9C" w:rsidTr="00816599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99" w:rsidRPr="0031621B" w:rsidRDefault="00816599" w:rsidP="00816599">
            <w:pPr>
              <w:spacing w:line="252" w:lineRule="auto"/>
              <w:ind w:left="62" w:right="100"/>
            </w:pPr>
            <w:r w:rsidRPr="0031621B">
              <w:t>Racine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99" w:rsidRPr="0031621B" w:rsidRDefault="00816599" w:rsidP="00816599">
            <w:pPr>
              <w:spacing w:line="252" w:lineRule="auto"/>
              <w:ind w:left="44" w:right="62"/>
            </w:pPr>
            <w:r>
              <w:t>1,342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99" w:rsidRPr="0031621B" w:rsidRDefault="00816599" w:rsidP="00816599">
            <w:pPr>
              <w:spacing w:line="252" w:lineRule="auto"/>
              <w:ind w:right="-23"/>
            </w:pPr>
            <w:r>
              <w:t>1,306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599" w:rsidRPr="0031621B" w:rsidRDefault="00816599" w:rsidP="00816599">
            <w:pPr>
              <w:spacing w:line="252" w:lineRule="auto"/>
              <w:ind w:right="360"/>
              <w:jc w:val="right"/>
            </w:pPr>
            <w:r>
              <w:t>-2.7</w:t>
            </w:r>
            <w:r w:rsidRPr="0031621B">
              <w:t>%</w:t>
            </w:r>
          </w:p>
        </w:tc>
      </w:tr>
      <w:tr w:rsidR="00816599" w:rsidRPr="00C41C9C" w:rsidTr="00816599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99" w:rsidRPr="0031621B" w:rsidRDefault="00816599" w:rsidP="00816599">
            <w:pPr>
              <w:spacing w:line="252" w:lineRule="auto"/>
              <w:ind w:left="62" w:right="100"/>
            </w:pPr>
            <w:r w:rsidRPr="0031621B">
              <w:t>Kenosha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99" w:rsidRPr="0031621B" w:rsidRDefault="00816599" w:rsidP="00816599">
            <w:pPr>
              <w:spacing w:line="252" w:lineRule="auto"/>
              <w:ind w:left="44" w:right="62"/>
            </w:pPr>
            <w:r>
              <w:t>1,162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99" w:rsidRPr="0031621B" w:rsidRDefault="00816599" w:rsidP="00816599">
            <w:pPr>
              <w:spacing w:line="252" w:lineRule="auto"/>
              <w:ind w:right="-23"/>
            </w:pPr>
            <w:r>
              <w:t>1,105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816599" w:rsidRPr="0031621B" w:rsidRDefault="00816599" w:rsidP="00816599">
            <w:pPr>
              <w:spacing w:line="252" w:lineRule="auto"/>
              <w:ind w:right="360"/>
              <w:jc w:val="right"/>
            </w:pPr>
            <w:r>
              <w:t>-4.9</w:t>
            </w:r>
            <w:r w:rsidRPr="0031621B">
              <w:t>%</w:t>
            </w:r>
          </w:p>
        </w:tc>
      </w:tr>
      <w:tr w:rsidR="00816599" w:rsidRPr="00C41C9C" w:rsidTr="00816599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99" w:rsidRPr="0031621B" w:rsidRDefault="00816599" w:rsidP="00816599">
            <w:pPr>
              <w:spacing w:line="252" w:lineRule="auto"/>
              <w:ind w:left="62" w:right="100"/>
            </w:pPr>
            <w:r w:rsidRPr="0031621B">
              <w:t>Walworth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99" w:rsidRPr="0031621B" w:rsidRDefault="00816599" w:rsidP="00816599">
            <w:pPr>
              <w:spacing w:line="252" w:lineRule="auto"/>
              <w:ind w:left="44" w:right="62"/>
            </w:pPr>
            <w:r>
              <w:t>843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99" w:rsidRPr="0031621B" w:rsidRDefault="00816599" w:rsidP="00816599">
            <w:pPr>
              <w:spacing w:line="252" w:lineRule="auto"/>
              <w:ind w:right="-23"/>
            </w:pPr>
            <w:r>
              <w:t>862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6599" w:rsidRPr="0031621B" w:rsidRDefault="00816599" w:rsidP="00816599">
            <w:pPr>
              <w:spacing w:line="252" w:lineRule="auto"/>
              <w:ind w:right="360"/>
              <w:jc w:val="right"/>
            </w:pPr>
            <w:r>
              <w:t>2.3</w:t>
            </w:r>
            <w:r w:rsidRPr="0031621B">
              <w:t>%</w:t>
            </w:r>
          </w:p>
        </w:tc>
      </w:tr>
      <w:tr w:rsidR="00816599" w:rsidRPr="00C41C9C" w:rsidTr="00816599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99" w:rsidRPr="0031621B" w:rsidRDefault="00816599" w:rsidP="00816599">
            <w:pPr>
              <w:spacing w:line="252" w:lineRule="auto"/>
              <w:ind w:left="62" w:right="100"/>
            </w:pPr>
            <w:r w:rsidRPr="0031621B">
              <w:t>7 County Area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99" w:rsidRPr="0031621B" w:rsidRDefault="00816599" w:rsidP="00816599">
            <w:pPr>
              <w:spacing w:line="252" w:lineRule="auto"/>
              <w:ind w:left="44" w:right="62"/>
            </w:pPr>
            <w:r>
              <w:t>13,594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99" w:rsidRPr="0031621B" w:rsidRDefault="00816599" w:rsidP="00816599">
            <w:pPr>
              <w:spacing w:line="252" w:lineRule="auto"/>
              <w:ind w:right="-23"/>
            </w:pPr>
            <w:r>
              <w:t>13,011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816599" w:rsidRPr="0031621B" w:rsidRDefault="00816599" w:rsidP="00816599">
            <w:pPr>
              <w:spacing w:line="252" w:lineRule="auto"/>
              <w:ind w:right="360"/>
              <w:jc w:val="right"/>
            </w:pPr>
            <w:r>
              <w:t>-4.3</w:t>
            </w:r>
            <w:r w:rsidRPr="0031621B">
              <w:t>%</w:t>
            </w:r>
          </w:p>
        </w:tc>
      </w:tr>
    </w:tbl>
    <w:p w:rsidR="00F4138C" w:rsidRPr="0031621B" w:rsidRDefault="001D7B23" w:rsidP="00816599">
      <w:pPr>
        <w:spacing w:before="120" w:after="120"/>
        <w:ind w:left="4860" w:right="-360"/>
        <w:contextualSpacing/>
      </w:pPr>
      <w:r w:rsidRPr="0031621B">
        <w:t xml:space="preserve">Through the </w:t>
      </w:r>
      <w:r w:rsidR="00545469">
        <w:t>2</w:t>
      </w:r>
      <w:r w:rsidR="00545469" w:rsidRPr="00545469">
        <w:rPr>
          <w:vertAlign w:val="superscript"/>
        </w:rPr>
        <w:t>nd</w:t>
      </w:r>
      <w:r w:rsidR="00545469">
        <w:t xml:space="preserve"> </w:t>
      </w:r>
      <w:r w:rsidRPr="0031621B">
        <w:t xml:space="preserve">quarter of the year </w:t>
      </w:r>
      <w:r w:rsidR="00F95E80">
        <w:t>9</w:t>
      </w:r>
      <w:r w:rsidRPr="0031621B">
        <w:t>,</w:t>
      </w:r>
      <w:r w:rsidR="00F95E80">
        <w:t>738</w:t>
      </w:r>
      <w:r w:rsidRPr="0031621B">
        <w:t xml:space="preserve"> homes sold, </w:t>
      </w:r>
      <w:r w:rsidR="009E4BB1" w:rsidRPr="0031621B">
        <w:t xml:space="preserve">down </w:t>
      </w:r>
      <w:r w:rsidR="00F95E80">
        <w:t>5</w:t>
      </w:r>
      <w:r w:rsidR="00181579">
        <w:t>.</w:t>
      </w:r>
      <w:r w:rsidR="00F95E80">
        <w:t>0</w:t>
      </w:r>
      <w:r w:rsidR="00E40C3D" w:rsidRPr="0031621B">
        <w:t xml:space="preserve">% </w:t>
      </w:r>
      <w:r w:rsidR="009E4BB1" w:rsidRPr="0031621B">
        <w:t>from</w:t>
      </w:r>
      <w:r w:rsidR="00E40C3D" w:rsidRPr="0031621B">
        <w:t xml:space="preserve"> </w:t>
      </w:r>
      <w:r w:rsidR="00F95E80">
        <w:t>10</w:t>
      </w:r>
      <w:r w:rsidRPr="0031621B">
        <w:t>,</w:t>
      </w:r>
      <w:r w:rsidR="00F95E80">
        <w:t>247</w:t>
      </w:r>
      <w:r w:rsidRPr="0031621B">
        <w:t xml:space="preserve"> units sold in 201</w:t>
      </w:r>
      <w:r w:rsidR="00181579">
        <w:t>8 in the 4-county area</w:t>
      </w:r>
      <w:r w:rsidRPr="0031621B">
        <w:t xml:space="preserve">. </w:t>
      </w:r>
      <w:r w:rsidR="00181579">
        <w:t xml:space="preserve">Add the 3 counties to the south, and total sales were </w:t>
      </w:r>
      <w:r w:rsidR="00F95E80">
        <w:t>13</w:t>
      </w:r>
      <w:r w:rsidR="00181579">
        <w:t>,</w:t>
      </w:r>
      <w:r w:rsidR="00F95E80">
        <w:t>011</w:t>
      </w:r>
      <w:r w:rsidR="00181579">
        <w:t xml:space="preserve">, </w:t>
      </w:r>
      <w:r w:rsidR="00F95E80">
        <w:t>4</w:t>
      </w:r>
      <w:r w:rsidR="00181579">
        <w:t>.</w:t>
      </w:r>
      <w:r w:rsidR="00F95E80">
        <w:t>3</w:t>
      </w:r>
      <w:r w:rsidR="00181579">
        <w:t xml:space="preserve">% behind the </w:t>
      </w:r>
      <w:r w:rsidR="00F95E80">
        <w:t>13</w:t>
      </w:r>
      <w:r w:rsidR="00181579">
        <w:t>,</w:t>
      </w:r>
      <w:r w:rsidR="00F95E80">
        <w:t>594</w:t>
      </w:r>
      <w:r w:rsidR="00181579">
        <w:t xml:space="preserve"> sales in 2018 in SE Wisconsin.</w:t>
      </w:r>
    </w:p>
    <w:p w:rsidR="00F4138C" w:rsidRPr="0031621B" w:rsidRDefault="00F4138C" w:rsidP="009E4BB1">
      <w:pPr>
        <w:spacing w:before="120" w:after="120"/>
        <w:ind w:left="-360" w:right="-360"/>
        <w:contextualSpacing/>
      </w:pPr>
    </w:p>
    <w:p w:rsidR="00EC789A" w:rsidRDefault="00E302C4" w:rsidP="001F5CBD">
      <w:pPr>
        <w:spacing w:before="120" w:after="120"/>
        <w:ind w:left="-360" w:right="-360"/>
        <w:contextualSpacing/>
      </w:pPr>
      <w:r w:rsidRPr="0031621B">
        <w:t xml:space="preserve">The </w:t>
      </w:r>
      <w:r w:rsidR="007B6D3B" w:rsidRPr="0031621B">
        <w:t xml:space="preserve">metropolitan area has enjoyed a </w:t>
      </w:r>
      <w:r w:rsidRPr="0031621B">
        <w:t xml:space="preserve">strong sales </w:t>
      </w:r>
      <w:r w:rsidR="007B6D3B" w:rsidRPr="0031621B">
        <w:t xml:space="preserve">market since the beginning of 2015.  The influx of first-time buyers – accounting for </w:t>
      </w:r>
      <w:r w:rsidR="00FE64F6" w:rsidRPr="0031621B">
        <w:t xml:space="preserve">roughly </w:t>
      </w:r>
      <w:r w:rsidR="007B6D3B" w:rsidRPr="0031621B">
        <w:t xml:space="preserve">40% of the market – </w:t>
      </w:r>
      <w:r w:rsidR="00FE7EB4" w:rsidRPr="0031621B">
        <w:t>empty nesters</w:t>
      </w:r>
      <w:r w:rsidR="00CD4658" w:rsidRPr="0031621B">
        <w:t xml:space="preserve"> downsizing</w:t>
      </w:r>
      <w:r w:rsidR="00FE7EB4" w:rsidRPr="0031621B">
        <w:t xml:space="preserve">, </w:t>
      </w:r>
      <w:r w:rsidR="007B6D3B" w:rsidRPr="0031621B">
        <w:t>historically low interest rates, and a strong regional job market, all provide fuel for a hot market.</w:t>
      </w:r>
    </w:p>
    <w:p w:rsidR="001074E7" w:rsidRDefault="001074E7" w:rsidP="001F5CBD">
      <w:pPr>
        <w:spacing w:before="120" w:after="120"/>
        <w:ind w:left="-360" w:right="-360"/>
        <w:contextualSpacing/>
      </w:pPr>
    </w:p>
    <w:p w:rsidR="001074E7" w:rsidRDefault="001074E7" w:rsidP="00816599">
      <w:pPr>
        <w:spacing w:before="120" w:after="120"/>
        <w:ind w:left="4860" w:right="-360"/>
        <w:contextualSpacing/>
      </w:pPr>
      <w:r>
        <w:t xml:space="preserve">However, we may be at the front end of a slowdown. As the </w:t>
      </w:r>
      <w:r w:rsidR="00586266">
        <w:t xml:space="preserve">Federal Reserve contemplates a rate cut, </w:t>
      </w:r>
      <w:r w:rsidR="00545469">
        <w:t xml:space="preserve">declines in </w:t>
      </w:r>
      <w:r w:rsidR="00586266">
        <w:t xml:space="preserve">business </w:t>
      </w:r>
      <w:r w:rsidR="00545469">
        <w:t>and consumer</w:t>
      </w:r>
      <w:r w:rsidR="00586266">
        <w:t xml:space="preserve"> confidence</w:t>
      </w:r>
      <w:r w:rsidR="00545469">
        <w:t xml:space="preserve"> in the economy</w:t>
      </w:r>
      <w:r w:rsidR="00586266">
        <w:t>, and the Yield Curve inversion earlier this spring, it appears the macro-economic forces are wobbly.</w:t>
      </w:r>
    </w:p>
    <w:p w:rsidR="00586266" w:rsidRDefault="00586266" w:rsidP="001F5CBD">
      <w:pPr>
        <w:spacing w:before="120" w:after="120"/>
        <w:ind w:left="-360" w:right="-360"/>
        <w:contextualSpacing/>
      </w:pPr>
    </w:p>
    <w:p w:rsidR="00586266" w:rsidRDefault="00D4269B" w:rsidP="001F5CBD">
      <w:pPr>
        <w:spacing w:before="120" w:after="120"/>
        <w:ind w:left="-360" w:right="-360"/>
        <w:contextualSpacing/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46990</wp:posOffset>
            </wp:positionV>
            <wp:extent cx="4572000" cy="2886075"/>
            <wp:effectExtent l="0" t="0" r="0" b="9525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586266">
        <w:t xml:space="preserve">Sales </w:t>
      </w:r>
      <w:r w:rsidR="00F63BE0">
        <w:t xml:space="preserve">of homes in the 4 County area – </w:t>
      </w:r>
      <w:r w:rsidR="00586266">
        <w:t>through the 2</w:t>
      </w:r>
      <w:r w:rsidR="00586266" w:rsidRPr="00586266">
        <w:rPr>
          <w:vertAlign w:val="superscript"/>
        </w:rPr>
        <w:t>nd</w:t>
      </w:r>
      <w:r w:rsidR="00586266">
        <w:t xml:space="preserve"> </w:t>
      </w:r>
      <w:r w:rsidR="00F63BE0">
        <w:t xml:space="preserve">quarter – also appears to show that the market may have peaked. </w:t>
      </w:r>
    </w:p>
    <w:p w:rsidR="00F63BE0" w:rsidRDefault="00816599" w:rsidP="001F5CBD">
      <w:pPr>
        <w:spacing w:before="120" w:after="120"/>
        <w:ind w:left="-360" w:right="-360"/>
        <w:contextualSpacing/>
      </w:pPr>
      <w:r>
        <w:t xml:space="preserve"> </w:t>
      </w:r>
    </w:p>
    <w:p w:rsidR="00545469" w:rsidRDefault="00767AFC" w:rsidP="001F5CBD">
      <w:pPr>
        <w:spacing w:before="120" w:after="120"/>
        <w:ind w:left="-360" w:right="-360"/>
        <w:contextualSpacing/>
      </w:pPr>
      <w:r>
        <w:t xml:space="preserve">Nonetheless, while </w:t>
      </w:r>
      <w:r w:rsidR="00545469">
        <w:t xml:space="preserve">there are several indications that </w:t>
      </w:r>
      <w:r>
        <w:t>the market is slowing</w:t>
      </w:r>
      <w:r w:rsidR="00545469">
        <w:t>,</w:t>
      </w:r>
      <w:r>
        <w:t xml:space="preserve"> there is nothing on the horizon that would indicate the slowdown is significant. </w:t>
      </w:r>
    </w:p>
    <w:p w:rsidR="00545469" w:rsidRDefault="00545469" w:rsidP="001F5CBD">
      <w:pPr>
        <w:spacing w:before="120" w:after="120"/>
        <w:ind w:left="-360" w:right="-360"/>
        <w:contextualSpacing/>
      </w:pPr>
    </w:p>
    <w:p w:rsidR="00F63BE0" w:rsidRDefault="00545469" w:rsidP="001F5CBD">
      <w:pPr>
        <w:spacing w:before="120" w:after="120"/>
        <w:ind w:left="-360" w:right="-360"/>
        <w:contextualSpacing/>
      </w:pPr>
      <w:r>
        <w:t xml:space="preserve">This is not 2008. </w:t>
      </w:r>
      <w:r w:rsidR="00767AFC">
        <w:t>There are no reports, or anecdotal stories, of unworthy buyers getting loans, or crooked lenders handing out cash that precipitated the 2008 crash. All indications point to a soft landing.</w:t>
      </w:r>
    </w:p>
    <w:p w:rsidR="00545469" w:rsidRDefault="00545469" w:rsidP="001F5CBD">
      <w:pPr>
        <w:spacing w:before="120" w:after="120"/>
        <w:ind w:left="-360" w:right="-360"/>
        <w:contextualSpacing/>
      </w:pPr>
    </w:p>
    <w:p w:rsidR="0053080F" w:rsidRDefault="0053080F" w:rsidP="007B6D3B">
      <w:pPr>
        <w:spacing w:before="120" w:after="120"/>
        <w:ind w:left="-360" w:right="-360"/>
        <w:contextualSpacing/>
      </w:pPr>
    </w:p>
    <w:tbl>
      <w:tblPr>
        <w:tblpPr w:leftFromText="180" w:rightFromText="180" w:bottomFromText="115" w:vertAnchor="text" w:horzAnchor="margin" w:tblpX="-360" w:tblpY="2"/>
        <w:tblW w:w="7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1020"/>
        <w:gridCol w:w="1512"/>
        <w:gridCol w:w="1512"/>
        <w:gridCol w:w="1512"/>
      </w:tblGrid>
      <w:tr w:rsidR="00617038" w:rsidRPr="0031621B" w:rsidTr="00617038">
        <w:trPr>
          <w:trHeight w:val="432"/>
        </w:trPr>
        <w:tc>
          <w:tcPr>
            <w:tcW w:w="70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7038" w:rsidRPr="00EF24BC" w:rsidRDefault="00617038" w:rsidP="00617038">
            <w:pPr>
              <w:spacing w:line="252" w:lineRule="auto"/>
              <w:ind w:left="-108" w:right="85"/>
              <w:jc w:val="center"/>
              <w:rPr>
                <w:rFonts w:ascii="Arial Narrow" w:hAnsi="Arial Narrow"/>
                <w:b/>
              </w:rPr>
            </w:pPr>
            <w:r w:rsidRPr="00EF24BC">
              <w:rPr>
                <w:rFonts w:ascii="Arial Narrow" w:hAnsi="Arial Narrow"/>
                <w:b/>
              </w:rPr>
              <w:t>June 2018 vs. June 2019 Price Point Comparison</w:t>
            </w:r>
          </w:p>
        </w:tc>
      </w:tr>
      <w:tr w:rsidR="00617038" w:rsidRPr="0031621B" w:rsidTr="00617038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 w:themeFill="accent1" w:themeFillShade="80"/>
            <w:vAlign w:val="center"/>
            <w:hideMark/>
          </w:tcPr>
          <w:p w:rsidR="00617038" w:rsidRPr="0031621B" w:rsidRDefault="00617038" w:rsidP="00617038">
            <w:pPr>
              <w:ind w:left="175" w:right="100"/>
              <w:rPr>
                <w:b/>
                <w:color w:val="FFFFFF" w:themeColor="background1"/>
              </w:rPr>
            </w:pPr>
            <w:r w:rsidRPr="0031621B">
              <w:rPr>
                <w:b/>
                <w:color w:val="FFFFFF" w:themeColor="background1"/>
              </w:rPr>
              <w:t>County</w:t>
            </w:r>
          </w:p>
        </w:tc>
        <w:tc>
          <w:tcPr>
            <w:tcW w:w="102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 w:themeFill="accent1" w:themeFillShade="80"/>
            <w:vAlign w:val="center"/>
          </w:tcPr>
          <w:p w:rsidR="00617038" w:rsidRPr="0031621B" w:rsidRDefault="00617038" w:rsidP="00617038">
            <w:pPr>
              <w:spacing w:line="207" w:lineRule="atLeast"/>
              <w:ind w:left="44" w:right="62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June of</w:t>
            </w:r>
          </w:p>
        </w:tc>
        <w:tc>
          <w:tcPr>
            <w:tcW w:w="151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038" w:rsidRDefault="00617038" w:rsidP="00617038">
            <w:pPr>
              <w:spacing w:line="207" w:lineRule="atLeast"/>
              <w:ind w:left="44" w:right="62"/>
              <w:jc w:val="center"/>
              <w:rPr>
                <w:color w:val="FFFFFF" w:themeColor="background1"/>
              </w:rPr>
            </w:pPr>
            <w:r w:rsidRPr="0031621B">
              <w:rPr>
                <w:color w:val="FFFFFF" w:themeColor="background1"/>
              </w:rPr>
              <w:t>&lt;$300K</w:t>
            </w:r>
          </w:p>
          <w:p w:rsidR="00617038" w:rsidRPr="0031621B" w:rsidRDefault="00617038" w:rsidP="00617038">
            <w:pPr>
              <w:spacing w:line="207" w:lineRule="atLeast"/>
              <w:ind w:left="44" w:right="62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Sales - % TTL</w:t>
            </w:r>
          </w:p>
        </w:tc>
        <w:tc>
          <w:tcPr>
            <w:tcW w:w="151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 w:themeFill="accent1" w:themeFillShade="80"/>
          </w:tcPr>
          <w:p w:rsidR="00617038" w:rsidRDefault="00617038" w:rsidP="00617038">
            <w:pPr>
              <w:spacing w:line="207" w:lineRule="atLeast"/>
              <w:ind w:right="-2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$300 - $500K</w:t>
            </w:r>
          </w:p>
          <w:p w:rsidR="00617038" w:rsidRPr="0031621B" w:rsidRDefault="00617038" w:rsidP="00617038">
            <w:pPr>
              <w:spacing w:line="207" w:lineRule="atLeast"/>
              <w:ind w:right="-2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Sales - % TTL</w:t>
            </w:r>
          </w:p>
        </w:tc>
        <w:tc>
          <w:tcPr>
            <w:tcW w:w="151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 w:themeFill="accent1" w:themeFillShade="80"/>
          </w:tcPr>
          <w:p w:rsidR="00617038" w:rsidRDefault="00617038" w:rsidP="00617038">
            <w:pPr>
              <w:spacing w:line="207" w:lineRule="atLeast"/>
              <w:ind w:right="-2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&gt;$500K</w:t>
            </w:r>
          </w:p>
          <w:p w:rsidR="00617038" w:rsidRPr="0031621B" w:rsidRDefault="00617038" w:rsidP="00617038">
            <w:pPr>
              <w:spacing w:line="207" w:lineRule="atLeast"/>
              <w:ind w:right="-2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Sales - % TTL</w:t>
            </w:r>
          </w:p>
        </w:tc>
      </w:tr>
      <w:tr w:rsidR="00617038" w:rsidRPr="0031621B" w:rsidTr="00617038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038" w:rsidRPr="0031621B" w:rsidRDefault="00617038" w:rsidP="00617038">
            <w:pPr>
              <w:spacing w:line="252" w:lineRule="auto"/>
              <w:ind w:left="62" w:right="100"/>
            </w:pPr>
            <w:r w:rsidRPr="0031621B">
              <w:t>Milwaukee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038" w:rsidRDefault="00617038" w:rsidP="00617038">
            <w:pPr>
              <w:spacing w:line="252" w:lineRule="auto"/>
              <w:ind w:left="44" w:right="62"/>
              <w:jc w:val="center"/>
            </w:pPr>
            <w:r>
              <w:t>2018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038" w:rsidRPr="0031621B" w:rsidRDefault="00617038" w:rsidP="00617038">
            <w:pPr>
              <w:spacing w:line="252" w:lineRule="auto"/>
              <w:ind w:left="44" w:right="62"/>
              <w:jc w:val="right"/>
            </w:pPr>
            <w:r>
              <w:t>1,031 – 84</w:t>
            </w:r>
            <w:r w:rsidRPr="0031621B">
              <w:t>%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617038" w:rsidRPr="0031621B" w:rsidRDefault="00617038" w:rsidP="00617038">
            <w:pPr>
              <w:spacing w:line="252" w:lineRule="auto"/>
              <w:ind w:right="190"/>
              <w:jc w:val="right"/>
            </w:pPr>
            <w:r>
              <w:t>154 – 13%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617038" w:rsidRPr="0031621B" w:rsidRDefault="00617038" w:rsidP="00617038">
            <w:pPr>
              <w:spacing w:line="252" w:lineRule="auto"/>
              <w:ind w:right="262"/>
              <w:jc w:val="right"/>
            </w:pPr>
            <w:r>
              <w:t>46 – 4%</w:t>
            </w:r>
          </w:p>
        </w:tc>
      </w:tr>
      <w:tr w:rsidR="00617038" w:rsidRPr="0031621B" w:rsidTr="00617038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038" w:rsidRPr="0031621B" w:rsidRDefault="00617038" w:rsidP="00617038">
            <w:pPr>
              <w:spacing w:line="252" w:lineRule="auto"/>
              <w:ind w:left="62" w:right="10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038" w:rsidRDefault="00617038" w:rsidP="00617038">
            <w:pPr>
              <w:spacing w:line="252" w:lineRule="auto"/>
              <w:ind w:left="44" w:right="62"/>
              <w:jc w:val="center"/>
            </w:pPr>
            <w: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038" w:rsidRDefault="00617038" w:rsidP="00617038">
            <w:pPr>
              <w:spacing w:line="252" w:lineRule="auto"/>
              <w:ind w:left="44" w:right="62"/>
              <w:jc w:val="right"/>
            </w:pPr>
            <w:r>
              <w:t>940 – 83%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617038" w:rsidRDefault="00617038" w:rsidP="00617038">
            <w:pPr>
              <w:spacing w:line="252" w:lineRule="auto"/>
              <w:ind w:right="190"/>
              <w:jc w:val="right"/>
            </w:pPr>
            <w:r>
              <w:t>152 – 14%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617038" w:rsidRDefault="00617038" w:rsidP="00617038">
            <w:pPr>
              <w:spacing w:line="252" w:lineRule="auto"/>
              <w:ind w:right="262"/>
              <w:jc w:val="right"/>
            </w:pPr>
            <w:r>
              <w:t>46 – 4%</w:t>
            </w:r>
          </w:p>
        </w:tc>
      </w:tr>
      <w:tr w:rsidR="00617038" w:rsidRPr="0031621B" w:rsidTr="00617038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038" w:rsidRPr="0031621B" w:rsidRDefault="00617038" w:rsidP="00617038">
            <w:pPr>
              <w:spacing w:line="252" w:lineRule="auto"/>
              <w:ind w:left="62" w:right="100"/>
            </w:pPr>
            <w:r w:rsidRPr="0031621B">
              <w:t>Waukesha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617038" w:rsidRDefault="00617038" w:rsidP="00617038">
            <w:pPr>
              <w:spacing w:line="252" w:lineRule="auto"/>
              <w:ind w:left="44" w:right="62"/>
              <w:jc w:val="center"/>
            </w:pPr>
            <w:r>
              <w:t>2018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038" w:rsidRPr="0031621B" w:rsidRDefault="00617038" w:rsidP="00617038">
            <w:pPr>
              <w:spacing w:line="252" w:lineRule="auto"/>
              <w:ind w:left="44" w:right="62"/>
              <w:jc w:val="right"/>
            </w:pPr>
            <w:r>
              <w:t>347 – 48</w:t>
            </w:r>
            <w:r w:rsidRPr="0031621B">
              <w:t>%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617038" w:rsidRPr="0031621B" w:rsidRDefault="00617038" w:rsidP="00617038">
            <w:pPr>
              <w:spacing w:line="252" w:lineRule="auto"/>
              <w:ind w:right="190"/>
              <w:jc w:val="right"/>
            </w:pPr>
            <w:r>
              <w:t>288 – 40%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617038" w:rsidRPr="0031621B" w:rsidRDefault="00617038" w:rsidP="00617038">
            <w:pPr>
              <w:spacing w:line="252" w:lineRule="auto"/>
              <w:ind w:right="262"/>
              <w:jc w:val="right"/>
            </w:pPr>
            <w:r>
              <w:t>90 – 12%</w:t>
            </w:r>
          </w:p>
        </w:tc>
      </w:tr>
      <w:tr w:rsidR="00617038" w:rsidRPr="0031621B" w:rsidTr="00617038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038" w:rsidRPr="0031621B" w:rsidRDefault="00617038" w:rsidP="00617038">
            <w:pPr>
              <w:spacing w:line="252" w:lineRule="auto"/>
              <w:ind w:left="62" w:right="10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617038" w:rsidRDefault="00617038" w:rsidP="00617038">
            <w:pPr>
              <w:spacing w:line="252" w:lineRule="auto"/>
              <w:ind w:left="44" w:right="62"/>
              <w:jc w:val="center"/>
            </w:pPr>
            <w: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038" w:rsidRDefault="00617038" w:rsidP="00617038">
            <w:pPr>
              <w:spacing w:line="252" w:lineRule="auto"/>
              <w:ind w:left="44" w:right="62"/>
              <w:jc w:val="right"/>
            </w:pPr>
            <w:r>
              <w:t>299 – 43%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617038" w:rsidRDefault="00617038" w:rsidP="00617038">
            <w:pPr>
              <w:spacing w:line="252" w:lineRule="auto"/>
              <w:ind w:right="190"/>
              <w:jc w:val="right"/>
            </w:pPr>
            <w:r>
              <w:t>290 – 41%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617038" w:rsidRDefault="00617038" w:rsidP="00617038">
            <w:pPr>
              <w:spacing w:line="252" w:lineRule="auto"/>
              <w:ind w:right="262"/>
              <w:jc w:val="right"/>
            </w:pPr>
            <w:r>
              <w:t>113 – 16%</w:t>
            </w:r>
          </w:p>
        </w:tc>
      </w:tr>
      <w:tr w:rsidR="00617038" w:rsidRPr="0031621B" w:rsidTr="00617038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038" w:rsidRPr="0031621B" w:rsidRDefault="00617038" w:rsidP="00617038">
            <w:pPr>
              <w:spacing w:line="252" w:lineRule="auto"/>
              <w:ind w:left="62" w:right="100"/>
            </w:pPr>
            <w:r w:rsidRPr="0031621B">
              <w:t>Washington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038" w:rsidRDefault="00617038" w:rsidP="00617038">
            <w:pPr>
              <w:spacing w:line="252" w:lineRule="auto"/>
              <w:ind w:left="44" w:right="62"/>
              <w:jc w:val="center"/>
            </w:pPr>
            <w:r>
              <w:t>2018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038" w:rsidRPr="0031621B" w:rsidRDefault="00617038" w:rsidP="00617038">
            <w:pPr>
              <w:spacing w:line="252" w:lineRule="auto"/>
              <w:ind w:left="44" w:right="62"/>
              <w:jc w:val="right"/>
            </w:pPr>
            <w:r>
              <w:t>164 – 69</w:t>
            </w:r>
            <w:r w:rsidRPr="0031621B">
              <w:t>%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617038" w:rsidRPr="0031621B" w:rsidRDefault="00617038" w:rsidP="00617038">
            <w:pPr>
              <w:spacing w:line="252" w:lineRule="auto"/>
              <w:ind w:right="190"/>
              <w:jc w:val="right"/>
            </w:pPr>
            <w:r>
              <w:t>60 – 26%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617038" w:rsidRPr="0031621B" w:rsidRDefault="00617038" w:rsidP="00617038">
            <w:pPr>
              <w:spacing w:line="252" w:lineRule="auto"/>
              <w:ind w:right="262"/>
              <w:jc w:val="right"/>
            </w:pPr>
            <w:r>
              <w:t>13 – 5%</w:t>
            </w:r>
          </w:p>
        </w:tc>
      </w:tr>
      <w:tr w:rsidR="00617038" w:rsidRPr="0031621B" w:rsidTr="00617038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038" w:rsidRPr="0031621B" w:rsidRDefault="00617038" w:rsidP="00617038">
            <w:pPr>
              <w:spacing w:line="252" w:lineRule="auto"/>
              <w:ind w:left="62" w:right="10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038" w:rsidRDefault="00617038" w:rsidP="00617038">
            <w:pPr>
              <w:spacing w:line="252" w:lineRule="auto"/>
              <w:ind w:left="44" w:right="62"/>
              <w:jc w:val="center"/>
            </w:pPr>
            <w: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038" w:rsidRDefault="00617038" w:rsidP="00617038">
            <w:pPr>
              <w:spacing w:line="252" w:lineRule="auto"/>
              <w:ind w:left="44" w:right="62"/>
              <w:jc w:val="right"/>
            </w:pPr>
            <w:r>
              <w:t>141 – 64%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617038" w:rsidRDefault="00617038" w:rsidP="00617038">
            <w:pPr>
              <w:spacing w:line="252" w:lineRule="auto"/>
              <w:ind w:right="190"/>
              <w:jc w:val="right"/>
            </w:pPr>
            <w:r>
              <w:t>66 – 30%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617038" w:rsidRDefault="00617038" w:rsidP="00617038">
            <w:pPr>
              <w:spacing w:line="252" w:lineRule="auto"/>
              <w:ind w:right="262"/>
              <w:jc w:val="right"/>
            </w:pPr>
            <w:r>
              <w:t>15 – 7%</w:t>
            </w:r>
          </w:p>
        </w:tc>
      </w:tr>
      <w:tr w:rsidR="00617038" w:rsidRPr="0031621B" w:rsidTr="00617038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038" w:rsidRPr="0031621B" w:rsidRDefault="00617038" w:rsidP="00617038">
            <w:pPr>
              <w:spacing w:line="252" w:lineRule="auto"/>
              <w:ind w:left="62" w:right="100"/>
            </w:pPr>
            <w:r w:rsidRPr="0031621B">
              <w:t>Ozaukee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617038" w:rsidRDefault="00617038" w:rsidP="00617038">
            <w:pPr>
              <w:spacing w:line="252" w:lineRule="auto"/>
              <w:ind w:left="44" w:right="62"/>
              <w:jc w:val="center"/>
            </w:pPr>
            <w:r>
              <w:t>2018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038" w:rsidRPr="0031621B" w:rsidRDefault="00617038" w:rsidP="00617038">
            <w:pPr>
              <w:spacing w:line="252" w:lineRule="auto"/>
              <w:ind w:left="44" w:right="62"/>
              <w:jc w:val="right"/>
            </w:pPr>
            <w:r>
              <w:t>62 – 41</w:t>
            </w:r>
            <w:r w:rsidRPr="0031621B">
              <w:t>%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617038" w:rsidRPr="0031621B" w:rsidRDefault="00617038" w:rsidP="00617038">
            <w:pPr>
              <w:spacing w:line="252" w:lineRule="auto"/>
              <w:ind w:right="190"/>
              <w:jc w:val="right"/>
            </w:pPr>
            <w:r>
              <w:t>52 – 34%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617038" w:rsidRPr="0031621B" w:rsidRDefault="00617038" w:rsidP="00617038">
            <w:pPr>
              <w:spacing w:line="252" w:lineRule="auto"/>
              <w:ind w:right="262"/>
              <w:jc w:val="right"/>
            </w:pPr>
            <w:r>
              <w:t>37 – 25%</w:t>
            </w:r>
          </w:p>
        </w:tc>
      </w:tr>
      <w:tr w:rsidR="00617038" w:rsidRPr="0031621B" w:rsidTr="00617038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038" w:rsidRPr="0031621B" w:rsidRDefault="00617038" w:rsidP="00617038">
            <w:pPr>
              <w:spacing w:line="252" w:lineRule="auto"/>
              <w:ind w:left="62" w:right="100"/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DEEAF6" w:themeFill="accent1" w:themeFillTint="33"/>
          </w:tcPr>
          <w:p w:rsidR="00617038" w:rsidRDefault="00617038" w:rsidP="00617038">
            <w:pPr>
              <w:spacing w:line="252" w:lineRule="auto"/>
              <w:ind w:left="44" w:right="62"/>
              <w:jc w:val="center"/>
            </w:pPr>
            <w: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038" w:rsidRDefault="00617038" w:rsidP="00617038">
            <w:pPr>
              <w:spacing w:line="252" w:lineRule="auto"/>
              <w:ind w:left="44" w:right="62"/>
              <w:jc w:val="right"/>
            </w:pPr>
            <w:r>
              <w:t>71 – 46%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DEEAF6" w:themeFill="accent1" w:themeFillTint="33"/>
          </w:tcPr>
          <w:p w:rsidR="00617038" w:rsidRDefault="00617038" w:rsidP="00617038">
            <w:pPr>
              <w:spacing w:line="252" w:lineRule="auto"/>
              <w:ind w:right="190"/>
              <w:jc w:val="right"/>
            </w:pPr>
            <w:r>
              <w:t>51 – 34%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DEEAF6" w:themeFill="accent1" w:themeFillTint="33"/>
          </w:tcPr>
          <w:p w:rsidR="00617038" w:rsidRDefault="00617038" w:rsidP="00617038">
            <w:pPr>
              <w:spacing w:line="252" w:lineRule="auto"/>
              <w:ind w:right="262"/>
              <w:jc w:val="right"/>
            </w:pPr>
            <w:r>
              <w:t>31 – 20%</w:t>
            </w:r>
          </w:p>
        </w:tc>
      </w:tr>
      <w:tr w:rsidR="00617038" w:rsidRPr="0031621B" w:rsidTr="00617038">
        <w:trPr>
          <w:trHeight w:val="288"/>
        </w:trPr>
        <w:tc>
          <w:tcPr>
            <w:tcW w:w="1456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038" w:rsidRPr="0031621B" w:rsidRDefault="00617038" w:rsidP="00617038">
            <w:pPr>
              <w:spacing w:line="252" w:lineRule="auto"/>
              <w:ind w:right="100"/>
            </w:pPr>
            <w:r>
              <w:t>4 – Cty Total</w:t>
            </w:r>
          </w:p>
        </w:tc>
        <w:tc>
          <w:tcPr>
            <w:tcW w:w="1020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</w:tcPr>
          <w:p w:rsidR="00617038" w:rsidRDefault="00617038" w:rsidP="00617038">
            <w:pPr>
              <w:spacing w:line="252" w:lineRule="auto"/>
              <w:ind w:left="44" w:right="62"/>
              <w:jc w:val="center"/>
            </w:pPr>
            <w:r>
              <w:t>2018</w:t>
            </w:r>
          </w:p>
        </w:tc>
        <w:tc>
          <w:tcPr>
            <w:tcW w:w="1512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038" w:rsidRDefault="00617038" w:rsidP="00617038">
            <w:pPr>
              <w:spacing w:line="252" w:lineRule="auto"/>
              <w:ind w:left="44" w:right="62"/>
              <w:jc w:val="right"/>
            </w:pPr>
            <w:r>
              <w:t>1,601 – 68%</w:t>
            </w:r>
          </w:p>
        </w:tc>
        <w:tc>
          <w:tcPr>
            <w:tcW w:w="1512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</w:tcPr>
          <w:p w:rsidR="00617038" w:rsidRDefault="00617038" w:rsidP="00617038">
            <w:pPr>
              <w:spacing w:line="252" w:lineRule="auto"/>
              <w:ind w:right="190"/>
              <w:jc w:val="right"/>
            </w:pPr>
            <w:r>
              <w:t>554 – 24%</w:t>
            </w:r>
          </w:p>
        </w:tc>
        <w:tc>
          <w:tcPr>
            <w:tcW w:w="1512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</w:tcPr>
          <w:p w:rsidR="00617038" w:rsidRDefault="00617038" w:rsidP="00617038">
            <w:pPr>
              <w:spacing w:line="252" w:lineRule="auto"/>
              <w:ind w:right="262"/>
              <w:jc w:val="right"/>
            </w:pPr>
            <w:r>
              <w:t>186 – 8%</w:t>
            </w:r>
          </w:p>
        </w:tc>
      </w:tr>
      <w:tr w:rsidR="00617038" w:rsidRPr="0031621B" w:rsidTr="00617038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038" w:rsidRDefault="00617038" w:rsidP="00617038">
            <w:pPr>
              <w:spacing w:line="252" w:lineRule="auto"/>
              <w:ind w:right="10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038" w:rsidRDefault="00617038" w:rsidP="00617038">
            <w:pPr>
              <w:spacing w:line="252" w:lineRule="auto"/>
              <w:ind w:left="44" w:right="62"/>
              <w:jc w:val="center"/>
            </w:pPr>
            <w: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038" w:rsidRDefault="00617038" w:rsidP="00617038">
            <w:pPr>
              <w:spacing w:line="252" w:lineRule="auto"/>
              <w:ind w:left="44" w:right="62"/>
              <w:jc w:val="right"/>
            </w:pPr>
            <w:r>
              <w:t>1,451 – 66%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038" w:rsidRDefault="00617038" w:rsidP="00617038">
            <w:pPr>
              <w:spacing w:line="252" w:lineRule="auto"/>
              <w:ind w:right="190"/>
              <w:jc w:val="right"/>
            </w:pPr>
            <w:r>
              <w:t>559 – 25%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038" w:rsidRDefault="00617038" w:rsidP="00617038">
            <w:pPr>
              <w:spacing w:line="252" w:lineRule="auto"/>
              <w:ind w:right="262"/>
              <w:jc w:val="right"/>
            </w:pPr>
            <w:r>
              <w:t>205 – 9%</w:t>
            </w:r>
          </w:p>
        </w:tc>
      </w:tr>
      <w:tr w:rsidR="00617038" w:rsidRPr="0031621B" w:rsidTr="00617038">
        <w:trPr>
          <w:trHeight w:val="2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038" w:rsidRPr="00816599" w:rsidRDefault="00617038" w:rsidP="00617038">
            <w:pPr>
              <w:spacing w:line="252" w:lineRule="auto"/>
              <w:ind w:left="62" w:right="100"/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617038" w:rsidRPr="00816599" w:rsidRDefault="00617038" w:rsidP="00617038">
            <w:pPr>
              <w:spacing w:line="252" w:lineRule="auto"/>
              <w:ind w:left="44" w:right="62"/>
              <w:jc w:val="center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038" w:rsidRPr="00816599" w:rsidRDefault="00617038" w:rsidP="00617038">
            <w:pPr>
              <w:spacing w:line="252" w:lineRule="auto"/>
              <w:ind w:left="44" w:right="62"/>
              <w:jc w:val="right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617038" w:rsidRPr="00816599" w:rsidRDefault="00617038" w:rsidP="00617038">
            <w:pPr>
              <w:spacing w:line="252" w:lineRule="auto"/>
              <w:ind w:right="190"/>
              <w:jc w:val="right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617038" w:rsidRPr="00816599" w:rsidRDefault="00617038" w:rsidP="00617038">
            <w:pPr>
              <w:spacing w:line="252" w:lineRule="auto"/>
              <w:ind w:right="262"/>
              <w:jc w:val="right"/>
              <w:rPr>
                <w:sz w:val="10"/>
                <w:szCs w:val="10"/>
              </w:rPr>
            </w:pPr>
          </w:p>
        </w:tc>
      </w:tr>
      <w:tr w:rsidR="00617038" w:rsidRPr="0031621B" w:rsidTr="00617038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038" w:rsidRPr="0031621B" w:rsidRDefault="00617038" w:rsidP="00617038">
            <w:pPr>
              <w:spacing w:line="252" w:lineRule="auto"/>
              <w:ind w:left="62" w:right="100"/>
            </w:pPr>
            <w:r w:rsidRPr="0031621B">
              <w:t>Racine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038" w:rsidRDefault="00617038" w:rsidP="00617038">
            <w:pPr>
              <w:spacing w:line="252" w:lineRule="auto"/>
              <w:ind w:left="44" w:right="62"/>
              <w:jc w:val="center"/>
            </w:pPr>
            <w:r>
              <w:t>2018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038" w:rsidRPr="0031621B" w:rsidRDefault="00617038" w:rsidP="00617038">
            <w:pPr>
              <w:spacing w:line="252" w:lineRule="auto"/>
              <w:ind w:left="44" w:right="62"/>
              <w:jc w:val="right"/>
            </w:pPr>
            <w:r>
              <w:t>228 – 81</w:t>
            </w:r>
            <w:r w:rsidRPr="0031621B">
              <w:t>%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617038" w:rsidRPr="0031621B" w:rsidRDefault="00617038" w:rsidP="00617038">
            <w:pPr>
              <w:spacing w:line="252" w:lineRule="auto"/>
              <w:ind w:right="190"/>
              <w:jc w:val="right"/>
            </w:pPr>
            <w:r>
              <w:t>51 – 18%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617038" w:rsidRPr="0031621B" w:rsidRDefault="00617038" w:rsidP="00617038">
            <w:pPr>
              <w:spacing w:line="252" w:lineRule="auto"/>
              <w:ind w:right="262"/>
              <w:jc w:val="right"/>
            </w:pPr>
            <w:r>
              <w:t>4 – 1%</w:t>
            </w:r>
          </w:p>
        </w:tc>
      </w:tr>
      <w:tr w:rsidR="00617038" w:rsidRPr="0031621B" w:rsidTr="00617038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038" w:rsidRPr="0031621B" w:rsidRDefault="00617038" w:rsidP="00617038">
            <w:pPr>
              <w:spacing w:line="252" w:lineRule="auto"/>
              <w:ind w:left="62" w:right="10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038" w:rsidRDefault="00617038" w:rsidP="00617038">
            <w:pPr>
              <w:spacing w:line="252" w:lineRule="auto"/>
              <w:ind w:left="44" w:right="62"/>
              <w:jc w:val="center"/>
            </w:pPr>
            <w: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038" w:rsidRDefault="00617038" w:rsidP="00617038">
            <w:pPr>
              <w:spacing w:line="252" w:lineRule="auto"/>
              <w:ind w:left="44" w:right="62"/>
              <w:jc w:val="right"/>
            </w:pPr>
            <w:r>
              <w:t>217 – 79%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617038" w:rsidRDefault="00617038" w:rsidP="00617038">
            <w:pPr>
              <w:spacing w:line="252" w:lineRule="auto"/>
              <w:ind w:right="190"/>
              <w:jc w:val="right"/>
            </w:pPr>
            <w:r>
              <w:t>51 – 19%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617038" w:rsidRDefault="00617038" w:rsidP="00617038">
            <w:pPr>
              <w:spacing w:line="252" w:lineRule="auto"/>
              <w:ind w:right="262"/>
              <w:jc w:val="right"/>
            </w:pPr>
            <w:r>
              <w:t>6 – 2%</w:t>
            </w:r>
          </w:p>
        </w:tc>
      </w:tr>
      <w:tr w:rsidR="00617038" w:rsidRPr="0031621B" w:rsidTr="00617038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038" w:rsidRPr="0031621B" w:rsidRDefault="00617038" w:rsidP="00617038">
            <w:pPr>
              <w:spacing w:line="252" w:lineRule="auto"/>
              <w:ind w:left="62" w:right="100"/>
            </w:pPr>
            <w:r w:rsidRPr="0031621B">
              <w:t>Kenosha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617038" w:rsidRDefault="00617038" w:rsidP="00617038">
            <w:pPr>
              <w:spacing w:line="252" w:lineRule="auto"/>
              <w:ind w:left="44" w:right="62"/>
              <w:jc w:val="center"/>
            </w:pPr>
            <w:r>
              <w:t>2018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038" w:rsidRPr="0031621B" w:rsidRDefault="00617038" w:rsidP="00617038">
            <w:pPr>
              <w:spacing w:line="252" w:lineRule="auto"/>
              <w:ind w:left="44" w:right="62"/>
              <w:jc w:val="right"/>
            </w:pPr>
            <w:r>
              <w:t>224 – 80</w:t>
            </w:r>
            <w:r w:rsidRPr="0031621B">
              <w:t>%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617038" w:rsidRDefault="00617038" w:rsidP="00617038">
            <w:pPr>
              <w:spacing w:line="252" w:lineRule="auto"/>
              <w:ind w:right="190"/>
              <w:jc w:val="right"/>
            </w:pPr>
            <w:r>
              <w:t>50 – 18%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617038" w:rsidRDefault="00617038" w:rsidP="00617038">
            <w:pPr>
              <w:spacing w:line="252" w:lineRule="auto"/>
              <w:ind w:right="262"/>
              <w:jc w:val="right"/>
            </w:pPr>
            <w:r>
              <w:t>7 – 2%</w:t>
            </w:r>
          </w:p>
        </w:tc>
      </w:tr>
      <w:tr w:rsidR="00617038" w:rsidRPr="0031621B" w:rsidTr="00617038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038" w:rsidRPr="0031621B" w:rsidRDefault="00617038" w:rsidP="00617038">
            <w:pPr>
              <w:spacing w:line="252" w:lineRule="auto"/>
              <w:ind w:left="62" w:right="10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617038" w:rsidRDefault="00617038" w:rsidP="00617038">
            <w:pPr>
              <w:spacing w:line="252" w:lineRule="auto"/>
              <w:ind w:left="44" w:right="62"/>
              <w:jc w:val="center"/>
            </w:pPr>
            <w: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038" w:rsidRDefault="00617038" w:rsidP="00617038">
            <w:pPr>
              <w:spacing w:line="252" w:lineRule="auto"/>
              <w:ind w:left="44" w:right="62"/>
              <w:jc w:val="right"/>
            </w:pPr>
            <w:r>
              <w:t>174 – 77%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617038" w:rsidRDefault="00617038" w:rsidP="00617038">
            <w:pPr>
              <w:spacing w:line="252" w:lineRule="auto"/>
              <w:ind w:right="190"/>
              <w:jc w:val="right"/>
            </w:pPr>
            <w:r>
              <w:t>44 – 19%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617038" w:rsidRDefault="00617038" w:rsidP="00617038">
            <w:pPr>
              <w:spacing w:line="252" w:lineRule="auto"/>
              <w:ind w:right="262"/>
              <w:jc w:val="right"/>
            </w:pPr>
            <w:r>
              <w:t>9 – 4%</w:t>
            </w:r>
          </w:p>
        </w:tc>
      </w:tr>
      <w:tr w:rsidR="00617038" w:rsidRPr="0031621B" w:rsidTr="00617038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038" w:rsidRPr="0031621B" w:rsidRDefault="00617038" w:rsidP="00617038">
            <w:pPr>
              <w:spacing w:line="252" w:lineRule="auto"/>
              <w:ind w:left="62" w:right="100"/>
            </w:pPr>
            <w:r w:rsidRPr="0031621B">
              <w:t>Walworth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17038" w:rsidRDefault="00617038" w:rsidP="00617038">
            <w:pPr>
              <w:spacing w:line="252" w:lineRule="auto"/>
              <w:ind w:left="44" w:right="62"/>
              <w:jc w:val="center"/>
            </w:pPr>
            <w:r>
              <w:t>2018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038" w:rsidRPr="0031621B" w:rsidRDefault="00617038" w:rsidP="00617038">
            <w:pPr>
              <w:spacing w:line="252" w:lineRule="auto"/>
              <w:ind w:left="44" w:right="62"/>
              <w:jc w:val="center"/>
            </w:pPr>
            <w:r>
              <w:t>112 – 71</w:t>
            </w:r>
            <w:r w:rsidRPr="0031621B">
              <w:t>%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617038" w:rsidRPr="0031621B" w:rsidRDefault="00617038" w:rsidP="00617038">
            <w:pPr>
              <w:spacing w:line="252" w:lineRule="auto"/>
              <w:ind w:right="190"/>
              <w:jc w:val="center"/>
            </w:pPr>
            <w:r>
              <w:t>32 – 21%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617038" w:rsidRPr="0031621B" w:rsidRDefault="00617038" w:rsidP="00617038">
            <w:pPr>
              <w:spacing w:line="252" w:lineRule="auto"/>
              <w:ind w:right="262"/>
              <w:jc w:val="right"/>
            </w:pPr>
            <w:r>
              <w:t>14 – 9%</w:t>
            </w:r>
          </w:p>
        </w:tc>
      </w:tr>
      <w:tr w:rsidR="00617038" w:rsidRPr="0031621B" w:rsidTr="00617038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038" w:rsidRPr="0031621B" w:rsidRDefault="00617038" w:rsidP="00617038">
            <w:pPr>
              <w:spacing w:line="252" w:lineRule="auto"/>
              <w:ind w:left="62" w:right="100"/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</w:tcPr>
          <w:p w:rsidR="00617038" w:rsidRDefault="00617038" w:rsidP="00617038">
            <w:pPr>
              <w:spacing w:line="252" w:lineRule="auto"/>
              <w:ind w:left="44" w:right="62"/>
              <w:jc w:val="center"/>
            </w:pPr>
            <w: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038" w:rsidRDefault="00617038" w:rsidP="00617038">
            <w:pPr>
              <w:spacing w:line="252" w:lineRule="auto"/>
              <w:ind w:left="44" w:right="62"/>
              <w:jc w:val="center"/>
            </w:pPr>
            <w:r>
              <w:t>123 – 66%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</w:tcPr>
          <w:p w:rsidR="00617038" w:rsidRDefault="00617038" w:rsidP="00617038">
            <w:pPr>
              <w:spacing w:line="252" w:lineRule="auto"/>
              <w:ind w:right="190"/>
              <w:jc w:val="center"/>
            </w:pPr>
            <w:r>
              <w:t>41 – 22%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</w:tcPr>
          <w:p w:rsidR="00617038" w:rsidRDefault="00617038" w:rsidP="00617038">
            <w:pPr>
              <w:spacing w:line="252" w:lineRule="auto"/>
              <w:ind w:right="262"/>
              <w:jc w:val="right"/>
            </w:pPr>
            <w:r>
              <w:t>21 – 11%</w:t>
            </w:r>
          </w:p>
        </w:tc>
      </w:tr>
    </w:tbl>
    <w:p w:rsidR="00617038" w:rsidRDefault="00617038" w:rsidP="007B6D3B">
      <w:pPr>
        <w:spacing w:before="120" w:after="120"/>
        <w:ind w:left="-360" w:right="-360"/>
        <w:contextualSpacing/>
      </w:pPr>
    </w:p>
    <w:p w:rsidR="0096117E" w:rsidRDefault="00617038" w:rsidP="00617038">
      <w:pPr>
        <w:spacing w:before="120" w:after="120"/>
        <w:ind w:left="-360" w:right="-360"/>
        <w:contextualSpacing/>
      </w:pPr>
      <w:r>
        <w:t xml:space="preserve">June’s price point comparison show softening in most categories. </w:t>
      </w:r>
    </w:p>
    <w:p w:rsidR="0096117E" w:rsidRDefault="0096117E" w:rsidP="00617038">
      <w:pPr>
        <w:spacing w:before="120" w:after="120"/>
        <w:ind w:left="-360" w:right="-360"/>
        <w:contextualSpacing/>
      </w:pPr>
    </w:p>
    <w:p w:rsidR="00617038" w:rsidRDefault="00617038" w:rsidP="00617038">
      <w:pPr>
        <w:spacing w:before="120" w:after="120"/>
        <w:ind w:left="-360" w:right="-360"/>
        <w:contextualSpacing/>
      </w:pPr>
      <w:r>
        <w:t xml:space="preserve">Since 2015 most of the </w:t>
      </w:r>
      <w:r w:rsidR="0096117E">
        <w:t>growth in sales was in the under $300,000 market, but that appears to have subsided along with the upper end.</w:t>
      </w:r>
    </w:p>
    <w:p w:rsidR="0096117E" w:rsidRDefault="0096117E" w:rsidP="00617038">
      <w:pPr>
        <w:spacing w:before="120" w:after="120"/>
        <w:ind w:left="-360" w:right="-360"/>
        <w:contextualSpacing/>
      </w:pPr>
    </w:p>
    <w:p w:rsidR="0096117E" w:rsidRDefault="0096117E" w:rsidP="00617038">
      <w:pPr>
        <w:spacing w:before="120" w:after="120"/>
        <w:ind w:left="-360" w:right="-360"/>
        <w:contextualSpacing/>
      </w:pPr>
    </w:p>
    <w:p w:rsidR="00617038" w:rsidRDefault="00617038" w:rsidP="007B6D3B">
      <w:pPr>
        <w:spacing w:before="120" w:after="120"/>
        <w:ind w:left="-360" w:right="-360"/>
        <w:contextualSpacing/>
      </w:pPr>
    </w:p>
    <w:p w:rsidR="00617038" w:rsidRDefault="00617038" w:rsidP="007B6D3B">
      <w:pPr>
        <w:spacing w:before="120" w:after="120"/>
        <w:ind w:left="-360" w:right="-360"/>
        <w:contextualSpacing/>
      </w:pPr>
    </w:p>
    <w:p w:rsidR="00617038" w:rsidRDefault="00617038" w:rsidP="007B6D3B">
      <w:pPr>
        <w:spacing w:before="120" w:after="120"/>
        <w:ind w:left="-360" w:right="-360"/>
        <w:contextualSpacing/>
      </w:pPr>
    </w:p>
    <w:p w:rsidR="00617038" w:rsidRDefault="00617038" w:rsidP="007B6D3B">
      <w:pPr>
        <w:spacing w:before="120" w:after="120"/>
        <w:ind w:left="-360" w:right="-360"/>
        <w:contextualSpacing/>
      </w:pPr>
    </w:p>
    <w:p w:rsidR="00617038" w:rsidRDefault="00617038" w:rsidP="007B6D3B">
      <w:pPr>
        <w:spacing w:before="120" w:after="120"/>
        <w:ind w:left="-360" w:right="-360"/>
        <w:contextualSpacing/>
      </w:pPr>
    </w:p>
    <w:p w:rsidR="00617038" w:rsidRDefault="00617038" w:rsidP="007B6D3B">
      <w:pPr>
        <w:spacing w:before="120" w:after="120"/>
        <w:ind w:left="-360" w:right="-360"/>
        <w:contextualSpacing/>
      </w:pPr>
    </w:p>
    <w:p w:rsidR="00617038" w:rsidRDefault="00617038" w:rsidP="007B6D3B">
      <w:pPr>
        <w:spacing w:before="120" w:after="120"/>
        <w:ind w:left="-360" w:right="-360"/>
        <w:contextualSpacing/>
      </w:pPr>
    </w:p>
    <w:p w:rsidR="00617038" w:rsidRDefault="00617038" w:rsidP="007B6D3B">
      <w:pPr>
        <w:spacing w:before="120" w:after="120"/>
        <w:ind w:left="-360" w:right="-360"/>
        <w:contextualSpacing/>
      </w:pPr>
    </w:p>
    <w:p w:rsidR="00617038" w:rsidRDefault="00617038" w:rsidP="007B6D3B">
      <w:pPr>
        <w:spacing w:before="120" w:after="120"/>
        <w:ind w:left="-360" w:right="-360"/>
        <w:contextualSpacing/>
      </w:pPr>
    </w:p>
    <w:p w:rsidR="00617038" w:rsidRDefault="00617038" w:rsidP="007B6D3B">
      <w:pPr>
        <w:spacing w:before="120" w:after="120"/>
        <w:ind w:left="-360" w:right="-360"/>
        <w:contextualSpacing/>
      </w:pPr>
    </w:p>
    <w:p w:rsidR="00617038" w:rsidRDefault="00617038" w:rsidP="007B6D3B">
      <w:pPr>
        <w:spacing w:before="120" w:after="120"/>
        <w:ind w:left="-360" w:right="-360"/>
        <w:contextualSpacing/>
      </w:pPr>
    </w:p>
    <w:p w:rsidR="0096117E" w:rsidRDefault="0096117E" w:rsidP="00134C6A">
      <w:pPr>
        <w:spacing w:before="120" w:after="120"/>
        <w:ind w:left="-360" w:right="-360"/>
        <w:contextualSpacing/>
      </w:pPr>
    </w:p>
    <w:p w:rsidR="0096117E" w:rsidRDefault="0096117E" w:rsidP="00134C6A">
      <w:pPr>
        <w:spacing w:before="120" w:after="120"/>
        <w:ind w:left="-360" w:right="-360"/>
        <w:contextualSpacing/>
      </w:pPr>
    </w:p>
    <w:p w:rsidR="0096117E" w:rsidRDefault="0096117E" w:rsidP="00134C6A">
      <w:pPr>
        <w:spacing w:before="120" w:after="120"/>
        <w:ind w:left="-360" w:right="-360"/>
        <w:contextualSpacing/>
      </w:pPr>
    </w:p>
    <w:p w:rsidR="0096117E" w:rsidRDefault="0096117E" w:rsidP="00134C6A">
      <w:pPr>
        <w:spacing w:before="120" w:after="120"/>
        <w:ind w:left="-360" w:right="-360"/>
        <w:contextualSpacing/>
      </w:pPr>
    </w:p>
    <w:p w:rsidR="0096117E" w:rsidRDefault="0096117E" w:rsidP="00134C6A">
      <w:pPr>
        <w:spacing w:before="120" w:after="120"/>
        <w:ind w:left="-360" w:right="-360"/>
        <w:contextualSpacing/>
      </w:pPr>
    </w:p>
    <w:p w:rsidR="0096117E" w:rsidRDefault="0096117E" w:rsidP="00134C6A">
      <w:pPr>
        <w:spacing w:before="120" w:after="120"/>
        <w:ind w:left="-360" w:right="-360"/>
        <w:contextualSpacing/>
      </w:pPr>
    </w:p>
    <w:p w:rsidR="00470EA4" w:rsidRDefault="00470EA4" w:rsidP="00134C6A">
      <w:pPr>
        <w:spacing w:before="120" w:after="120"/>
        <w:ind w:left="-360" w:right="-360"/>
        <w:contextualSpacing/>
      </w:pPr>
    </w:p>
    <w:p w:rsidR="00134C6A" w:rsidRPr="00470EA4" w:rsidRDefault="00134C6A" w:rsidP="00134C6A">
      <w:pPr>
        <w:spacing w:before="120" w:after="120"/>
        <w:ind w:left="-360" w:right="-360"/>
        <w:contextualSpacing/>
      </w:pPr>
    </w:p>
    <w:tbl>
      <w:tblPr>
        <w:tblpPr w:leftFromText="180" w:rightFromText="180" w:bottomFromText="115" w:vertAnchor="text" w:horzAnchor="margin" w:tblpX="-360" w:tblpY="39"/>
        <w:tblW w:w="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899"/>
        <w:gridCol w:w="823"/>
        <w:gridCol w:w="1166"/>
        <w:gridCol w:w="266"/>
      </w:tblGrid>
      <w:tr w:rsidR="00AE6343" w:rsidRPr="00C41C9C" w:rsidTr="000418A7">
        <w:trPr>
          <w:trHeight w:val="432"/>
        </w:trPr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343" w:rsidRPr="0031621B" w:rsidRDefault="00F41449" w:rsidP="00AE6343">
            <w:pPr>
              <w:spacing w:line="252" w:lineRule="auto"/>
              <w:ind w:left="-108" w:right="85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June</w:t>
            </w:r>
            <w:r w:rsidR="00AE6343" w:rsidRPr="0031621B">
              <w:rPr>
                <w:rFonts w:ascii="Arial Narrow" w:hAnsi="Arial Narrow"/>
                <w:b/>
              </w:rPr>
              <w:t xml:space="preserve"> Listings</w:t>
            </w:r>
          </w:p>
        </w:tc>
      </w:tr>
      <w:tr w:rsidR="00AE6343" w:rsidRPr="00C41C9C" w:rsidTr="000418A7">
        <w:trPr>
          <w:gridAfter w:val="1"/>
          <w:wAfter w:w="270" w:type="dxa"/>
          <w:trHeight w:val="288"/>
        </w:trPr>
        <w:tc>
          <w:tcPr>
            <w:tcW w:w="1710" w:type="dxa"/>
            <w:tcBorders>
              <w:top w:val="single" w:sz="12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1F4E79" w:themeFill="accent1" w:themeFillShade="80"/>
            <w:vAlign w:val="center"/>
            <w:hideMark/>
          </w:tcPr>
          <w:p w:rsidR="00AE6343" w:rsidRPr="0031621B" w:rsidRDefault="00AE6343" w:rsidP="00AE6343">
            <w:pPr>
              <w:ind w:left="175" w:right="100"/>
              <w:rPr>
                <w:b/>
                <w:color w:val="FFFFFF" w:themeColor="background1"/>
              </w:rPr>
            </w:pPr>
            <w:r w:rsidRPr="0031621B">
              <w:rPr>
                <w:b/>
                <w:color w:val="FFFFFF" w:themeColor="background1"/>
              </w:rPr>
              <w:t>County</w:t>
            </w:r>
          </w:p>
        </w:tc>
        <w:tc>
          <w:tcPr>
            <w:tcW w:w="90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343" w:rsidRPr="0031621B" w:rsidRDefault="00AE6343" w:rsidP="009934D6">
            <w:pPr>
              <w:spacing w:line="207" w:lineRule="atLeast"/>
              <w:ind w:left="44" w:right="62"/>
              <w:rPr>
                <w:color w:val="FFFFFF" w:themeColor="background1"/>
              </w:rPr>
            </w:pPr>
            <w:r w:rsidRPr="0031621B">
              <w:rPr>
                <w:color w:val="FFFFFF" w:themeColor="background1"/>
              </w:rPr>
              <w:t>201</w:t>
            </w:r>
            <w:r w:rsidR="00C858FE">
              <w:rPr>
                <w:color w:val="FFFFFF" w:themeColor="background1"/>
              </w:rPr>
              <w:t>8</w:t>
            </w:r>
          </w:p>
        </w:tc>
        <w:tc>
          <w:tcPr>
            <w:tcW w:w="8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343" w:rsidRPr="0031621B" w:rsidRDefault="00AE6343" w:rsidP="009934D6">
            <w:pPr>
              <w:spacing w:line="207" w:lineRule="atLeast"/>
              <w:ind w:left="44" w:right="62"/>
              <w:rPr>
                <w:color w:val="FFFFFF" w:themeColor="background1"/>
              </w:rPr>
            </w:pPr>
            <w:r w:rsidRPr="0031621B">
              <w:rPr>
                <w:color w:val="FFFFFF" w:themeColor="background1"/>
              </w:rPr>
              <w:t>201</w:t>
            </w:r>
            <w:r w:rsidR="00C858FE">
              <w:rPr>
                <w:color w:val="FFFFFF" w:themeColor="background1"/>
              </w:rPr>
              <w:t>9</w:t>
            </w:r>
          </w:p>
        </w:tc>
        <w:tc>
          <w:tcPr>
            <w:tcW w:w="117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</w:tcBorders>
            <w:shd w:val="clear" w:color="auto" w:fill="1F4E79" w:themeFill="accent1" w:themeFillShade="80"/>
          </w:tcPr>
          <w:p w:rsidR="00AE6343" w:rsidRPr="0031621B" w:rsidRDefault="00AE6343" w:rsidP="009934D6">
            <w:pPr>
              <w:ind w:left="44" w:right="184"/>
              <w:rPr>
                <w:color w:val="FFFFFF" w:themeColor="background1"/>
              </w:rPr>
            </w:pPr>
            <w:r w:rsidRPr="0031621B">
              <w:rPr>
                <w:color w:val="FFFFFF" w:themeColor="background1"/>
              </w:rPr>
              <w:t>% Change</w:t>
            </w:r>
          </w:p>
        </w:tc>
      </w:tr>
      <w:tr w:rsidR="00AE6343" w:rsidRPr="00C41C9C" w:rsidTr="000418A7">
        <w:trPr>
          <w:gridAfter w:val="1"/>
          <w:wAfter w:w="270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343" w:rsidRPr="0031621B" w:rsidRDefault="00AE6343" w:rsidP="00AE6343">
            <w:pPr>
              <w:spacing w:line="252" w:lineRule="auto"/>
              <w:ind w:left="62" w:right="100"/>
            </w:pPr>
            <w:r w:rsidRPr="0031621B">
              <w:t>Milwaukee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6343" w:rsidRPr="0031621B" w:rsidRDefault="003932C3" w:rsidP="009934D6">
            <w:pPr>
              <w:ind w:left="44" w:right="62"/>
              <w:rPr>
                <w:rFonts w:cs="Arial"/>
              </w:rPr>
            </w:pPr>
            <w:r>
              <w:rPr>
                <w:rFonts w:cs="Arial"/>
              </w:rPr>
              <w:t>1,</w:t>
            </w:r>
            <w:r w:rsidR="00626122">
              <w:rPr>
                <w:rFonts w:cs="Arial"/>
              </w:rPr>
              <w:t>478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6343" w:rsidRPr="0031621B" w:rsidRDefault="00626122" w:rsidP="009934D6">
            <w:pPr>
              <w:ind w:left="44" w:right="62"/>
              <w:rPr>
                <w:rFonts w:cs="Arial"/>
              </w:rPr>
            </w:pPr>
            <w:r>
              <w:rPr>
                <w:rFonts w:cs="Arial"/>
              </w:rPr>
              <w:t>1,504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343" w:rsidRPr="0031621B" w:rsidRDefault="00626122" w:rsidP="009934D6">
            <w:pPr>
              <w:spacing w:line="252" w:lineRule="auto"/>
              <w:ind w:left="44" w:right="184"/>
              <w:jc w:val="right"/>
            </w:pPr>
            <w:r>
              <w:t>1.8</w:t>
            </w:r>
            <w:r w:rsidR="00AE6343" w:rsidRPr="0031621B">
              <w:t>%</w:t>
            </w:r>
          </w:p>
        </w:tc>
      </w:tr>
      <w:tr w:rsidR="00AE6343" w:rsidRPr="00C41C9C" w:rsidTr="000418A7">
        <w:trPr>
          <w:gridAfter w:val="1"/>
          <w:wAfter w:w="270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343" w:rsidRPr="0031621B" w:rsidRDefault="00AE6343" w:rsidP="00AE6343">
            <w:pPr>
              <w:spacing w:line="252" w:lineRule="auto"/>
              <w:ind w:left="62" w:right="100"/>
            </w:pPr>
            <w:r w:rsidRPr="0031621B">
              <w:t>Waukesha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6343" w:rsidRPr="0031621B" w:rsidRDefault="003932C3" w:rsidP="009934D6">
            <w:pPr>
              <w:ind w:left="44" w:right="62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626122">
              <w:rPr>
                <w:rFonts w:cs="Arial"/>
              </w:rPr>
              <w:t>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6343" w:rsidRPr="0031621B" w:rsidRDefault="00626122" w:rsidP="009934D6">
            <w:pPr>
              <w:ind w:left="44" w:right="62"/>
              <w:rPr>
                <w:rFonts w:cs="Arial"/>
              </w:rPr>
            </w:pPr>
            <w:r>
              <w:rPr>
                <w:rFonts w:cs="Arial"/>
              </w:rPr>
              <w:t>795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AE6343" w:rsidRPr="0031621B" w:rsidRDefault="00626122" w:rsidP="009934D6">
            <w:pPr>
              <w:spacing w:line="252" w:lineRule="auto"/>
              <w:ind w:left="44" w:right="184"/>
              <w:jc w:val="right"/>
            </w:pPr>
            <w:r>
              <w:t>1</w:t>
            </w:r>
            <w:r w:rsidR="003932C3">
              <w:t>.</w:t>
            </w:r>
            <w:r>
              <w:t>3</w:t>
            </w:r>
            <w:r w:rsidR="00AE6343" w:rsidRPr="0031621B">
              <w:t>%</w:t>
            </w:r>
          </w:p>
        </w:tc>
      </w:tr>
      <w:tr w:rsidR="00AE6343" w:rsidRPr="00C41C9C" w:rsidTr="000418A7">
        <w:trPr>
          <w:gridAfter w:val="1"/>
          <w:wAfter w:w="270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343" w:rsidRPr="0031621B" w:rsidRDefault="00AE6343" w:rsidP="00AE6343">
            <w:pPr>
              <w:spacing w:line="252" w:lineRule="auto"/>
              <w:ind w:left="62" w:right="100"/>
            </w:pPr>
            <w:r w:rsidRPr="0031621B">
              <w:t>Washington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626122" w:rsidP="009934D6">
            <w:pPr>
              <w:spacing w:line="252" w:lineRule="auto"/>
              <w:ind w:left="44" w:right="62"/>
            </w:pPr>
            <w:r>
              <w:t>254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626122" w:rsidP="009934D6">
            <w:pPr>
              <w:spacing w:line="252" w:lineRule="auto"/>
              <w:ind w:left="44" w:right="62"/>
            </w:pPr>
            <w:r>
              <w:t>274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343" w:rsidRPr="0031621B" w:rsidRDefault="00626122" w:rsidP="009934D6">
            <w:pPr>
              <w:spacing w:line="252" w:lineRule="auto"/>
              <w:ind w:left="44" w:right="184"/>
              <w:jc w:val="right"/>
            </w:pPr>
            <w:r>
              <w:t>7.9</w:t>
            </w:r>
            <w:r w:rsidR="00AE6343" w:rsidRPr="0031621B">
              <w:t>%</w:t>
            </w:r>
          </w:p>
        </w:tc>
      </w:tr>
      <w:tr w:rsidR="00AE6343" w:rsidRPr="00C41C9C" w:rsidTr="000418A7">
        <w:trPr>
          <w:gridAfter w:val="1"/>
          <w:wAfter w:w="270" w:type="dxa"/>
          <w:trHeight w:val="288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343" w:rsidRPr="0031621B" w:rsidRDefault="00AE6343" w:rsidP="00AE6343">
            <w:pPr>
              <w:spacing w:line="252" w:lineRule="auto"/>
              <w:ind w:left="62" w:right="100"/>
            </w:pPr>
            <w:r w:rsidRPr="0031621B">
              <w:t>Ozaukee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626122" w:rsidP="009934D6">
            <w:pPr>
              <w:spacing w:line="252" w:lineRule="auto"/>
              <w:ind w:left="44" w:right="62"/>
            </w:pPr>
            <w:r>
              <w:t>161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626122" w:rsidP="009934D6">
            <w:pPr>
              <w:spacing w:line="252" w:lineRule="auto"/>
              <w:ind w:left="44" w:right="62"/>
            </w:pPr>
            <w:r>
              <w:t>198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AE6343" w:rsidRPr="0031621B" w:rsidRDefault="00626122" w:rsidP="009934D6">
            <w:pPr>
              <w:spacing w:line="252" w:lineRule="auto"/>
              <w:ind w:left="44" w:right="184"/>
              <w:jc w:val="right"/>
            </w:pPr>
            <w:r>
              <w:t>23</w:t>
            </w:r>
            <w:r w:rsidR="003932C3">
              <w:t>.</w:t>
            </w:r>
            <w:r>
              <w:t>0</w:t>
            </w:r>
            <w:r w:rsidR="00AE6343" w:rsidRPr="0031621B">
              <w:t>%</w:t>
            </w:r>
          </w:p>
        </w:tc>
      </w:tr>
      <w:tr w:rsidR="00AE6343" w:rsidRPr="00C41C9C" w:rsidTr="000418A7">
        <w:trPr>
          <w:gridAfter w:val="1"/>
          <w:wAfter w:w="270" w:type="dxa"/>
          <w:trHeight w:val="288"/>
        </w:trPr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343" w:rsidRPr="0031621B" w:rsidRDefault="00AE6343" w:rsidP="00AE6343">
            <w:pPr>
              <w:spacing w:line="252" w:lineRule="auto"/>
              <w:ind w:left="62" w:right="100"/>
            </w:pPr>
            <w:r w:rsidRPr="0031621B">
              <w:t>4 County Area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3932C3" w:rsidP="009934D6">
            <w:pPr>
              <w:spacing w:line="252" w:lineRule="auto"/>
              <w:ind w:left="44" w:right="62"/>
            </w:pPr>
            <w:r>
              <w:t>2,</w:t>
            </w:r>
            <w:r w:rsidR="00626122">
              <w:t>678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3932C3" w:rsidP="009934D6">
            <w:pPr>
              <w:spacing w:line="252" w:lineRule="auto"/>
              <w:ind w:left="44" w:right="62"/>
            </w:pPr>
            <w:r>
              <w:t>2,</w:t>
            </w:r>
            <w:r w:rsidR="00626122">
              <w:t>771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343" w:rsidRPr="0031621B" w:rsidRDefault="00626122" w:rsidP="009934D6">
            <w:pPr>
              <w:spacing w:line="252" w:lineRule="auto"/>
              <w:ind w:left="44" w:right="184"/>
              <w:jc w:val="right"/>
            </w:pPr>
            <w:r>
              <w:t>3</w:t>
            </w:r>
            <w:r w:rsidR="003932C3">
              <w:t>.</w:t>
            </w:r>
            <w:r>
              <w:t>5</w:t>
            </w:r>
            <w:r w:rsidR="00AE6343" w:rsidRPr="0031621B">
              <w:t>%</w:t>
            </w:r>
          </w:p>
        </w:tc>
      </w:tr>
      <w:tr w:rsidR="00AE6343" w:rsidRPr="00C41C9C" w:rsidTr="000418A7">
        <w:trPr>
          <w:gridAfter w:val="1"/>
          <w:wAfter w:w="270" w:type="dxa"/>
          <w:trHeight w:val="144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156337" w:rsidRDefault="00AE6343" w:rsidP="00AE6343">
            <w:pPr>
              <w:spacing w:line="252" w:lineRule="auto"/>
              <w:ind w:left="62" w:right="100"/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156337" w:rsidRDefault="00AE6343" w:rsidP="009934D6">
            <w:pPr>
              <w:spacing w:line="252" w:lineRule="auto"/>
              <w:ind w:left="44" w:right="62"/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156337" w:rsidRDefault="00AE6343" w:rsidP="009934D6">
            <w:pPr>
              <w:spacing w:line="252" w:lineRule="auto"/>
              <w:ind w:left="44" w:right="62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AE6343" w:rsidRPr="00156337" w:rsidRDefault="00AE6343" w:rsidP="009934D6">
            <w:pPr>
              <w:spacing w:line="252" w:lineRule="auto"/>
              <w:ind w:left="44" w:right="184"/>
              <w:jc w:val="right"/>
              <w:rPr>
                <w:sz w:val="10"/>
                <w:szCs w:val="10"/>
              </w:rPr>
            </w:pPr>
          </w:p>
        </w:tc>
      </w:tr>
      <w:tr w:rsidR="00AE6343" w:rsidRPr="00C41C9C" w:rsidTr="000418A7">
        <w:trPr>
          <w:gridAfter w:val="1"/>
          <w:wAfter w:w="270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AE6343" w:rsidP="00AE6343">
            <w:pPr>
              <w:spacing w:line="252" w:lineRule="auto"/>
              <w:ind w:left="62" w:right="100"/>
            </w:pPr>
            <w:r w:rsidRPr="0031621B">
              <w:t>Racine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626122" w:rsidP="009934D6">
            <w:pPr>
              <w:spacing w:line="252" w:lineRule="auto"/>
              <w:ind w:left="44" w:right="62"/>
            </w:pPr>
            <w:r>
              <w:t>343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626122" w:rsidP="009934D6">
            <w:pPr>
              <w:spacing w:line="252" w:lineRule="auto"/>
              <w:ind w:left="44" w:right="62"/>
            </w:pPr>
            <w:r>
              <w:t>392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343" w:rsidRPr="0031621B" w:rsidRDefault="003932C3" w:rsidP="009934D6">
            <w:pPr>
              <w:spacing w:line="252" w:lineRule="auto"/>
              <w:ind w:left="44" w:right="184"/>
              <w:jc w:val="right"/>
            </w:pPr>
            <w:r>
              <w:t>1</w:t>
            </w:r>
            <w:r w:rsidR="00626122">
              <w:t>4</w:t>
            </w:r>
            <w:r>
              <w:t>.</w:t>
            </w:r>
            <w:r w:rsidR="00626122">
              <w:t>3</w:t>
            </w:r>
            <w:r w:rsidR="00AE6343" w:rsidRPr="0031621B">
              <w:t>%</w:t>
            </w:r>
          </w:p>
        </w:tc>
      </w:tr>
      <w:tr w:rsidR="00AE6343" w:rsidRPr="00C41C9C" w:rsidTr="000418A7">
        <w:trPr>
          <w:gridAfter w:val="1"/>
          <w:wAfter w:w="270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AE6343" w:rsidP="00AE6343">
            <w:pPr>
              <w:spacing w:line="252" w:lineRule="auto"/>
              <w:ind w:left="62" w:right="100"/>
            </w:pPr>
            <w:r w:rsidRPr="0031621B">
              <w:t>Kenosha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626122" w:rsidP="009934D6">
            <w:pPr>
              <w:spacing w:line="252" w:lineRule="auto"/>
              <w:ind w:left="44" w:right="62"/>
            </w:pPr>
            <w:r>
              <w:t>321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626122" w:rsidP="009934D6">
            <w:pPr>
              <w:spacing w:line="252" w:lineRule="auto"/>
              <w:ind w:left="44" w:right="62"/>
            </w:pPr>
            <w:r>
              <w:t>302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AE6343" w:rsidRPr="0031621B" w:rsidRDefault="003932C3" w:rsidP="009934D6">
            <w:pPr>
              <w:spacing w:line="252" w:lineRule="auto"/>
              <w:ind w:left="44" w:right="184"/>
              <w:jc w:val="right"/>
            </w:pPr>
            <w:r>
              <w:t>-</w:t>
            </w:r>
            <w:r w:rsidR="00626122">
              <w:t>5</w:t>
            </w:r>
            <w:r>
              <w:t>.</w:t>
            </w:r>
            <w:r w:rsidR="00626122">
              <w:t>9</w:t>
            </w:r>
            <w:r w:rsidR="00AE6343" w:rsidRPr="0031621B">
              <w:t>%</w:t>
            </w:r>
          </w:p>
        </w:tc>
      </w:tr>
      <w:tr w:rsidR="00AE6343" w:rsidRPr="00C41C9C" w:rsidTr="000418A7">
        <w:trPr>
          <w:gridAfter w:val="1"/>
          <w:wAfter w:w="270" w:type="dxa"/>
          <w:trHeight w:val="288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AE6343" w:rsidP="00AE6343">
            <w:pPr>
              <w:spacing w:line="252" w:lineRule="auto"/>
              <w:ind w:left="62" w:right="100"/>
            </w:pPr>
            <w:r w:rsidRPr="0031621B">
              <w:t>Walworth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626122" w:rsidP="009934D6">
            <w:pPr>
              <w:spacing w:line="252" w:lineRule="auto"/>
              <w:ind w:left="44" w:right="62"/>
            </w:pPr>
            <w:r>
              <w:t>251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626122" w:rsidP="009934D6">
            <w:pPr>
              <w:spacing w:line="252" w:lineRule="auto"/>
              <w:ind w:left="44" w:right="62"/>
            </w:pPr>
            <w:r>
              <w:t>253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6343" w:rsidRPr="0031621B" w:rsidRDefault="00626122" w:rsidP="009934D6">
            <w:pPr>
              <w:spacing w:line="252" w:lineRule="auto"/>
              <w:ind w:left="44" w:right="184"/>
              <w:jc w:val="right"/>
            </w:pPr>
            <w:r>
              <w:t>0</w:t>
            </w:r>
            <w:r w:rsidR="003932C3">
              <w:t>.</w:t>
            </w:r>
            <w:r>
              <w:t>8</w:t>
            </w:r>
            <w:r w:rsidR="00AE6343" w:rsidRPr="0031621B">
              <w:t>%</w:t>
            </w:r>
          </w:p>
        </w:tc>
      </w:tr>
      <w:tr w:rsidR="00AE6343" w:rsidRPr="00C41C9C" w:rsidTr="000418A7">
        <w:trPr>
          <w:gridAfter w:val="1"/>
          <w:wAfter w:w="270" w:type="dxa"/>
          <w:trHeight w:val="288"/>
        </w:trPr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AE6343" w:rsidP="00AE6343">
            <w:pPr>
              <w:spacing w:line="252" w:lineRule="auto"/>
              <w:ind w:left="62" w:right="100"/>
            </w:pPr>
            <w:r w:rsidRPr="0031621B">
              <w:t>7 County Area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3932C3" w:rsidP="009934D6">
            <w:pPr>
              <w:spacing w:line="252" w:lineRule="auto"/>
              <w:ind w:left="44" w:right="62"/>
            </w:pPr>
            <w:r>
              <w:t>3</w:t>
            </w:r>
            <w:r w:rsidR="00626122">
              <w:t>,593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3932C3" w:rsidP="009934D6">
            <w:pPr>
              <w:spacing w:line="252" w:lineRule="auto"/>
              <w:ind w:left="44" w:right="62"/>
            </w:pPr>
            <w:r>
              <w:t>3</w:t>
            </w:r>
            <w:r w:rsidR="00626122">
              <w:t>,718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AE6343" w:rsidRPr="0031621B" w:rsidRDefault="00626122" w:rsidP="009934D6">
            <w:pPr>
              <w:spacing w:line="252" w:lineRule="auto"/>
              <w:ind w:left="44" w:right="184"/>
              <w:jc w:val="right"/>
            </w:pPr>
            <w:r>
              <w:t>3</w:t>
            </w:r>
            <w:r w:rsidR="003932C3">
              <w:t>.</w:t>
            </w:r>
            <w:r>
              <w:t>5</w:t>
            </w:r>
            <w:r w:rsidR="00AE6343" w:rsidRPr="0031621B">
              <w:t>%</w:t>
            </w:r>
          </w:p>
        </w:tc>
      </w:tr>
    </w:tbl>
    <w:p w:rsidR="00134C6A" w:rsidRDefault="00134C6A" w:rsidP="007B6D3B">
      <w:pPr>
        <w:spacing w:before="120" w:after="120"/>
        <w:ind w:left="-360" w:right="-360"/>
        <w:contextualSpacing/>
      </w:pPr>
    </w:p>
    <w:p w:rsidR="000F21F9" w:rsidRPr="0031621B" w:rsidRDefault="00FE64F6" w:rsidP="007B6D3B">
      <w:pPr>
        <w:spacing w:before="120" w:after="120"/>
        <w:ind w:left="-360" w:right="-360"/>
        <w:contextualSpacing/>
        <w:rPr>
          <w:b/>
          <w:u w:val="single"/>
        </w:rPr>
      </w:pPr>
      <w:r w:rsidRPr="0031621B">
        <w:rPr>
          <w:b/>
        </w:rPr>
        <w:t>L</w:t>
      </w:r>
      <w:r w:rsidR="00156337" w:rsidRPr="0031621B">
        <w:rPr>
          <w:b/>
        </w:rPr>
        <w:t>istings</w:t>
      </w:r>
    </w:p>
    <w:p w:rsidR="00134C6A" w:rsidRDefault="005460CE" w:rsidP="001F5CBD">
      <w:pPr>
        <w:spacing w:before="120" w:after="120"/>
        <w:ind w:left="-360" w:right="-360"/>
        <w:contextualSpacing/>
      </w:pPr>
      <w:r w:rsidRPr="0031621B">
        <w:t xml:space="preserve">Listings were </w:t>
      </w:r>
      <w:r w:rsidR="0096117E">
        <w:t xml:space="preserve">up a healthy 3.5% </w:t>
      </w:r>
      <w:r w:rsidR="00134C6A">
        <w:t xml:space="preserve">all over </w:t>
      </w:r>
      <w:r w:rsidR="00742C85" w:rsidRPr="0031621B">
        <w:t>Southeastern Wisconsin</w:t>
      </w:r>
      <w:r w:rsidR="007E0B53" w:rsidRPr="0031621B">
        <w:t xml:space="preserve"> </w:t>
      </w:r>
      <w:r w:rsidR="00965378" w:rsidRPr="0031621B">
        <w:t xml:space="preserve">in </w:t>
      </w:r>
      <w:r w:rsidR="00F41449">
        <w:t>June</w:t>
      </w:r>
      <w:r w:rsidR="00742C85" w:rsidRPr="0031621B">
        <w:t>.  The 4</w:t>
      </w:r>
      <w:r w:rsidR="00657D2E" w:rsidRPr="0031621B">
        <w:t xml:space="preserve"> </w:t>
      </w:r>
      <w:r w:rsidR="00742C85" w:rsidRPr="0031621B">
        <w:t xml:space="preserve">county area </w:t>
      </w:r>
      <w:r w:rsidR="00FE3DE4">
        <w:t xml:space="preserve">went </w:t>
      </w:r>
      <w:r w:rsidR="0096117E">
        <w:t>up 93</w:t>
      </w:r>
      <w:r w:rsidR="00134C6A">
        <w:t xml:space="preserve"> </w:t>
      </w:r>
      <w:r w:rsidR="00742C85" w:rsidRPr="0031621B">
        <w:t>units</w:t>
      </w:r>
      <w:r w:rsidR="00134C6A">
        <w:t xml:space="preserve">, </w:t>
      </w:r>
      <w:r w:rsidR="0096117E">
        <w:t>3.5</w:t>
      </w:r>
      <w:r w:rsidR="00134C6A">
        <w:t>%</w:t>
      </w:r>
      <w:r w:rsidR="00742C85" w:rsidRPr="0031621B">
        <w:t>.</w:t>
      </w:r>
      <w:r w:rsidR="00657D2E" w:rsidRPr="0031621B">
        <w:t xml:space="preserve"> </w:t>
      </w:r>
      <w:r w:rsidR="00134C6A">
        <w:t xml:space="preserve">The 7 county Southeastern Wisconsin area was </w:t>
      </w:r>
      <w:r w:rsidR="0096117E">
        <w:t>up</w:t>
      </w:r>
      <w:r w:rsidR="00134C6A">
        <w:t xml:space="preserve"> </w:t>
      </w:r>
      <w:r w:rsidR="0096117E">
        <w:t>3.5</w:t>
      </w:r>
      <w:r w:rsidR="00134C6A">
        <w:t xml:space="preserve">%, or </w:t>
      </w:r>
      <w:r w:rsidR="0096117E">
        <w:t>125</w:t>
      </w:r>
      <w:r w:rsidR="00134C6A">
        <w:t xml:space="preserve"> units.</w:t>
      </w:r>
    </w:p>
    <w:p w:rsidR="00134C6A" w:rsidRDefault="00134C6A" w:rsidP="001F5CBD">
      <w:pPr>
        <w:spacing w:before="120" w:after="120"/>
        <w:ind w:left="-360" w:right="-360"/>
        <w:contextualSpacing/>
      </w:pPr>
    </w:p>
    <w:p w:rsidR="000758D2" w:rsidRDefault="000758D2" w:rsidP="00DF5C48">
      <w:pPr>
        <w:spacing w:before="120" w:after="120"/>
        <w:ind w:left="4680" w:right="-360"/>
        <w:contextualSpacing/>
      </w:pPr>
    </w:p>
    <w:p w:rsidR="000758D2" w:rsidRDefault="000758D2" w:rsidP="00DF5C48">
      <w:pPr>
        <w:spacing w:before="120" w:after="120"/>
        <w:ind w:left="4680" w:right="-360"/>
        <w:contextualSpacing/>
      </w:pPr>
    </w:p>
    <w:p w:rsidR="000758D2" w:rsidRDefault="000758D2" w:rsidP="00DF5C48">
      <w:pPr>
        <w:spacing w:before="120" w:after="120"/>
        <w:ind w:left="4680" w:right="-360"/>
        <w:contextualSpacing/>
      </w:pPr>
    </w:p>
    <w:p w:rsidR="000758D2" w:rsidRDefault="000758D2" w:rsidP="00DF5C48">
      <w:pPr>
        <w:spacing w:before="120" w:after="120"/>
        <w:ind w:left="4680" w:right="-360"/>
        <w:contextualSpacing/>
      </w:pPr>
    </w:p>
    <w:p w:rsidR="000758D2" w:rsidRDefault="000758D2" w:rsidP="00DF5C48">
      <w:pPr>
        <w:spacing w:before="120" w:after="120"/>
        <w:ind w:left="4680" w:right="-360"/>
        <w:contextualSpacing/>
      </w:pPr>
    </w:p>
    <w:p w:rsidR="000758D2" w:rsidRDefault="000758D2" w:rsidP="00DF5C48">
      <w:pPr>
        <w:spacing w:before="120" w:after="120"/>
        <w:ind w:left="4680" w:right="-360"/>
        <w:contextualSpacing/>
      </w:pPr>
    </w:p>
    <w:p w:rsidR="0031621B" w:rsidRDefault="0089320B" w:rsidP="00DF5C48">
      <w:pPr>
        <w:spacing w:before="120" w:after="120"/>
        <w:ind w:left="4680" w:right="-360"/>
        <w:contextualSpacing/>
        <w:rPr>
          <w:bCs/>
          <w:sz w:val="24"/>
          <w:szCs w:val="24"/>
        </w:rPr>
      </w:pPr>
      <w:r w:rsidRPr="0031621B">
        <w:t xml:space="preserve"> </w:t>
      </w:r>
    </w:p>
    <w:tbl>
      <w:tblPr>
        <w:tblpPr w:leftFromText="180" w:rightFromText="180" w:bottomFromText="115" w:vertAnchor="text" w:horzAnchor="page" w:tblpX="1111" w:tblpY="129"/>
        <w:tblW w:w="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935"/>
        <w:gridCol w:w="865"/>
        <w:gridCol w:w="1080"/>
        <w:gridCol w:w="265"/>
      </w:tblGrid>
      <w:tr w:rsidR="005640BF" w:rsidRPr="00C41C9C" w:rsidTr="009934D6">
        <w:trPr>
          <w:trHeight w:val="432"/>
        </w:trPr>
        <w:tc>
          <w:tcPr>
            <w:tcW w:w="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0BF" w:rsidRPr="0031621B" w:rsidRDefault="00626122" w:rsidP="00626122">
            <w:pPr>
              <w:spacing w:line="252" w:lineRule="auto"/>
              <w:ind w:left="-108" w:right="85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Pr="00626122">
              <w:rPr>
                <w:rFonts w:ascii="Arial Narrow" w:hAnsi="Arial Narrow"/>
                <w:b/>
                <w:vertAlign w:val="superscript"/>
              </w:rPr>
              <w:t>nd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5640BF" w:rsidRPr="0031621B">
              <w:rPr>
                <w:rFonts w:ascii="Arial Narrow" w:hAnsi="Arial Narrow"/>
                <w:b/>
              </w:rPr>
              <w:t>Quarter Listings</w:t>
            </w:r>
            <w:r w:rsidR="00D1723D" w:rsidRPr="0031621B">
              <w:rPr>
                <w:rFonts w:ascii="Arial Narrow" w:hAnsi="Arial Narrow"/>
                <w:b/>
              </w:rPr>
              <w:t xml:space="preserve"> </w:t>
            </w:r>
            <w:r w:rsidR="00D1723D" w:rsidRPr="0031621B">
              <w:rPr>
                <w:rFonts w:ascii="Arial Narrow" w:hAnsi="Arial Narrow"/>
              </w:rPr>
              <w:t xml:space="preserve">(Jan 1 – </w:t>
            </w:r>
            <w:r>
              <w:rPr>
                <w:rFonts w:ascii="Arial Narrow" w:hAnsi="Arial Narrow"/>
              </w:rPr>
              <w:t>Jun</w:t>
            </w:r>
            <w:r w:rsidR="00D1723D" w:rsidRPr="0031621B">
              <w:rPr>
                <w:rFonts w:ascii="Arial Narrow" w:hAnsi="Arial Narrow"/>
              </w:rPr>
              <w:t xml:space="preserve"> 3</w:t>
            </w:r>
            <w:r>
              <w:rPr>
                <w:rFonts w:ascii="Arial Narrow" w:hAnsi="Arial Narrow"/>
              </w:rPr>
              <w:t>0</w:t>
            </w:r>
            <w:r w:rsidR="00D1723D" w:rsidRPr="0031621B">
              <w:rPr>
                <w:rFonts w:ascii="Arial Narrow" w:hAnsi="Arial Narrow"/>
              </w:rPr>
              <w:t>)</w:t>
            </w:r>
          </w:p>
        </w:tc>
      </w:tr>
      <w:tr w:rsidR="005640BF" w:rsidRPr="00C41C9C" w:rsidTr="009934D6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 w:themeFill="accent1" w:themeFillShade="80"/>
            <w:vAlign w:val="center"/>
            <w:hideMark/>
          </w:tcPr>
          <w:p w:rsidR="005640BF" w:rsidRPr="0031621B" w:rsidRDefault="005640BF" w:rsidP="001111CB">
            <w:pPr>
              <w:ind w:left="175" w:right="100"/>
              <w:rPr>
                <w:b/>
                <w:color w:val="FFFFFF" w:themeColor="background1"/>
              </w:rPr>
            </w:pPr>
            <w:r w:rsidRPr="0031621B">
              <w:rPr>
                <w:b/>
                <w:color w:val="FFFFFF" w:themeColor="background1"/>
              </w:rPr>
              <w:t>County</w:t>
            </w:r>
          </w:p>
        </w:tc>
        <w:tc>
          <w:tcPr>
            <w:tcW w:w="935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BF" w:rsidRPr="0031621B" w:rsidRDefault="00C858FE" w:rsidP="001111CB">
            <w:pPr>
              <w:spacing w:line="207" w:lineRule="atLeast"/>
              <w:ind w:left="44" w:right="6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2018</w:t>
            </w:r>
          </w:p>
        </w:tc>
        <w:tc>
          <w:tcPr>
            <w:tcW w:w="865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BF" w:rsidRPr="0031621B" w:rsidRDefault="005640BF" w:rsidP="00C858FE">
            <w:pPr>
              <w:spacing w:line="207" w:lineRule="atLeast"/>
              <w:ind w:right="-23"/>
              <w:rPr>
                <w:color w:val="FFFFFF" w:themeColor="background1"/>
              </w:rPr>
            </w:pPr>
            <w:r w:rsidRPr="0031621B">
              <w:rPr>
                <w:color w:val="FFFFFF" w:themeColor="background1"/>
              </w:rPr>
              <w:t>201</w:t>
            </w:r>
            <w:r w:rsidR="00C858FE">
              <w:rPr>
                <w:color w:val="FFFFFF" w:themeColor="background1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 w:themeFill="accent1" w:themeFillShade="80"/>
          </w:tcPr>
          <w:p w:rsidR="005640BF" w:rsidRPr="0031621B" w:rsidRDefault="005640BF" w:rsidP="009934D6">
            <w:pPr>
              <w:ind w:left="89" w:right="90"/>
              <w:rPr>
                <w:color w:val="FFFFFF" w:themeColor="background1"/>
              </w:rPr>
            </w:pPr>
            <w:r w:rsidRPr="0031621B">
              <w:rPr>
                <w:color w:val="FFFFFF" w:themeColor="background1"/>
              </w:rPr>
              <w:t>% Change</w:t>
            </w:r>
          </w:p>
        </w:tc>
      </w:tr>
      <w:tr w:rsidR="006E0511" w:rsidRPr="00C41C9C" w:rsidTr="009934D6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511" w:rsidRPr="0031621B" w:rsidRDefault="006E0511" w:rsidP="006E0511">
            <w:pPr>
              <w:spacing w:line="252" w:lineRule="auto"/>
              <w:ind w:left="62" w:right="100"/>
            </w:pPr>
            <w:r w:rsidRPr="0031621B">
              <w:t>Milwaukee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0511" w:rsidRPr="0031621B" w:rsidRDefault="009934D6" w:rsidP="009934D6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C858FE">
              <w:rPr>
                <w:rFonts w:cs="Arial"/>
              </w:rPr>
              <w:t>,1</w:t>
            </w:r>
            <w:r>
              <w:rPr>
                <w:rFonts w:cs="Arial"/>
              </w:rPr>
              <w:t>43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0511" w:rsidRPr="0031621B" w:rsidRDefault="009934D6" w:rsidP="009934D6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C858FE">
              <w:rPr>
                <w:rFonts w:cs="Arial"/>
              </w:rPr>
              <w:t>,</w:t>
            </w:r>
            <w:r>
              <w:rPr>
                <w:rFonts w:cs="Arial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511" w:rsidRPr="0031621B" w:rsidRDefault="006E0511" w:rsidP="009934D6">
            <w:pPr>
              <w:spacing w:line="252" w:lineRule="auto"/>
              <w:ind w:left="89" w:right="90"/>
              <w:jc w:val="right"/>
            </w:pPr>
            <w:r w:rsidRPr="0031621B">
              <w:t>-</w:t>
            </w:r>
            <w:r w:rsidR="009934D6">
              <w:t>5</w:t>
            </w:r>
            <w:r w:rsidR="00C858FE">
              <w:t>.</w:t>
            </w:r>
            <w:r w:rsidR="009934D6">
              <w:t>0</w:t>
            </w:r>
            <w:r w:rsidRPr="0031621B">
              <w:t>%</w:t>
            </w:r>
          </w:p>
        </w:tc>
      </w:tr>
      <w:tr w:rsidR="006E0511" w:rsidRPr="00C41C9C" w:rsidTr="009934D6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511" w:rsidRPr="0031621B" w:rsidRDefault="006E0511" w:rsidP="006E0511">
            <w:pPr>
              <w:spacing w:line="252" w:lineRule="auto"/>
              <w:ind w:left="62" w:right="100"/>
            </w:pPr>
            <w:r w:rsidRPr="0031621B">
              <w:t>Waukesha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0511" w:rsidRPr="0031621B" w:rsidRDefault="009934D6" w:rsidP="009934D6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C858FE">
              <w:rPr>
                <w:rFonts w:cs="Arial"/>
              </w:rPr>
              <w:t>,</w:t>
            </w:r>
            <w:r>
              <w:rPr>
                <w:rFonts w:cs="Arial"/>
              </w:rPr>
              <w:t>985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0511" w:rsidRPr="0031621B" w:rsidRDefault="009934D6" w:rsidP="009934D6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C858FE">
              <w:rPr>
                <w:rFonts w:cs="Arial"/>
              </w:rPr>
              <w:t>,</w:t>
            </w:r>
            <w:r>
              <w:rPr>
                <w:rFonts w:cs="Arial"/>
              </w:rPr>
              <w:t>035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6E0511" w:rsidRPr="0031621B" w:rsidRDefault="00C858FE" w:rsidP="009934D6">
            <w:pPr>
              <w:spacing w:line="252" w:lineRule="auto"/>
              <w:ind w:left="89" w:right="90"/>
              <w:jc w:val="right"/>
            </w:pPr>
            <w:r>
              <w:t>1.</w:t>
            </w:r>
            <w:r w:rsidR="009934D6">
              <w:t>3</w:t>
            </w:r>
            <w:r w:rsidR="006E0511" w:rsidRPr="0031621B">
              <w:t>%</w:t>
            </w:r>
          </w:p>
        </w:tc>
      </w:tr>
      <w:tr w:rsidR="006E0511" w:rsidRPr="00C41C9C" w:rsidTr="009934D6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511" w:rsidRPr="0031621B" w:rsidRDefault="006E0511" w:rsidP="006E0511">
            <w:pPr>
              <w:spacing w:line="252" w:lineRule="auto"/>
              <w:ind w:left="62" w:right="100"/>
            </w:pPr>
            <w:r w:rsidRPr="0031621B">
              <w:t>Washington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9934D6" w:rsidP="009934D6">
            <w:pPr>
              <w:spacing w:line="252" w:lineRule="auto"/>
            </w:pPr>
            <w:r>
              <w:t>1,335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9934D6" w:rsidP="00800766">
            <w:pPr>
              <w:spacing w:line="252" w:lineRule="auto"/>
              <w:ind w:right="-23"/>
            </w:pPr>
            <w:r>
              <w:t>1,302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511" w:rsidRPr="0031621B" w:rsidRDefault="00C858FE" w:rsidP="009934D6">
            <w:pPr>
              <w:spacing w:line="252" w:lineRule="auto"/>
              <w:ind w:left="89" w:right="90"/>
              <w:jc w:val="right"/>
            </w:pPr>
            <w:r>
              <w:t>-</w:t>
            </w:r>
            <w:r w:rsidR="009934D6">
              <w:t>2</w:t>
            </w:r>
            <w:r>
              <w:t>.</w:t>
            </w:r>
            <w:r w:rsidR="009934D6">
              <w:t>5</w:t>
            </w:r>
            <w:r w:rsidR="006E0511" w:rsidRPr="0031621B">
              <w:t>%</w:t>
            </w:r>
          </w:p>
        </w:tc>
      </w:tr>
      <w:tr w:rsidR="006E0511" w:rsidRPr="00C41C9C" w:rsidTr="009934D6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511" w:rsidRPr="0031621B" w:rsidRDefault="006E0511" w:rsidP="006E0511">
            <w:pPr>
              <w:spacing w:line="252" w:lineRule="auto"/>
              <w:ind w:left="62" w:right="100"/>
            </w:pPr>
            <w:r w:rsidRPr="0031621B">
              <w:t>Ozaukee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9934D6" w:rsidP="009934D6">
            <w:pPr>
              <w:spacing w:line="252" w:lineRule="auto"/>
            </w:pPr>
            <w:r>
              <w:t>941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9934D6" w:rsidP="00800766">
            <w:pPr>
              <w:spacing w:line="252" w:lineRule="auto"/>
              <w:ind w:right="-23"/>
            </w:pPr>
            <w:r>
              <w:t>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6E0511" w:rsidRPr="0031621B" w:rsidRDefault="009934D6" w:rsidP="009934D6">
            <w:pPr>
              <w:spacing w:line="252" w:lineRule="auto"/>
              <w:ind w:left="89" w:right="90"/>
              <w:jc w:val="right"/>
            </w:pPr>
            <w:r>
              <w:t>0</w:t>
            </w:r>
            <w:r w:rsidR="00C858FE">
              <w:t>.</w:t>
            </w:r>
            <w:r>
              <w:t>9</w:t>
            </w:r>
            <w:r w:rsidR="006E0511" w:rsidRPr="0031621B">
              <w:t>%</w:t>
            </w:r>
          </w:p>
        </w:tc>
      </w:tr>
      <w:tr w:rsidR="006E0511" w:rsidRPr="00C41C9C" w:rsidTr="009934D6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511" w:rsidRPr="0031621B" w:rsidRDefault="006E0511" w:rsidP="006E0511">
            <w:pPr>
              <w:spacing w:line="252" w:lineRule="auto"/>
              <w:ind w:left="62" w:right="100"/>
            </w:pPr>
            <w:r w:rsidRPr="0031621B">
              <w:t>4 County Area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C858FE" w:rsidP="009934D6">
            <w:pPr>
              <w:spacing w:line="252" w:lineRule="auto"/>
            </w:pPr>
            <w:r>
              <w:t>6,004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C858FE" w:rsidP="00800766">
            <w:pPr>
              <w:spacing w:line="252" w:lineRule="auto"/>
              <w:ind w:right="-23"/>
            </w:pPr>
            <w:r>
              <w:t>5,522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511" w:rsidRPr="0031621B" w:rsidRDefault="00C858FE" w:rsidP="009934D6">
            <w:pPr>
              <w:spacing w:line="252" w:lineRule="auto"/>
              <w:ind w:left="89" w:right="90"/>
              <w:jc w:val="right"/>
            </w:pPr>
            <w:r>
              <w:t>-8.0</w:t>
            </w:r>
            <w:r w:rsidR="006E0511" w:rsidRPr="0031621B">
              <w:t>%</w:t>
            </w:r>
          </w:p>
        </w:tc>
      </w:tr>
      <w:tr w:rsidR="006E0511" w:rsidRPr="00C41C9C" w:rsidTr="009934D6">
        <w:trPr>
          <w:gridAfter w:val="1"/>
          <w:wAfter w:w="265" w:type="dxa"/>
          <w:trHeight w:val="179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156337" w:rsidRDefault="006E0511" w:rsidP="006E0511">
            <w:pPr>
              <w:spacing w:line="252" w:lineRule="auto"/>
              <w:ind w:left="62" w:right="100"/>
              <w:rPr>
                <w:sz w:val="10"/>
                <w:szCs w:val="1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156337" w:rsidRDefault="006E0511" w:rsidP="009934D6">
            <w:pPr>
              <w:spacing w:line="252" w:lineRule="auto"/>
              <w:rPr>
                <w:sz w:val="10"/>
                <w:szCs w:val="1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156337" w:rsidRDefault="006E0511" w:rsidP="006E0511">
            <w:pPr>
              <w:spacing w:line="252" w:lineRule="auto"/>
              <w:ind w:right="-2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6E0511" w:rsidRPr="00156337" w:rsidRDefault="006E0511" w:rsidP="009934D6">
            <w:pPr>
              <w:spacing w:line="252" w:lineRule="auto"/>
              <w:ind w:left="89" w:right="90"/>
              <w:jc w:val="center"/>
              <w:rPr>
                <w:sz w:val="10"/>
                <w:szCs w:val="10"/>
              </w:rPr>
            </w:pPr>
          </w:p>
        </w:tc>
      </w:tr>
      <w:tr w:rsidR="006E0511" w:rsidRPr="00C41C9C" w:rsidTr="009934D6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6E0511" w:rsidP="006E0511">
            <w:pPr>
              <w:spacing w:line="252" w:lineRule="auto"/>
              <w:ind w:left="62" w:right="100"/>
            </w:pPr>
            <w:r w:rsidRPr="0031621B">
              <w:t>Racine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C858FE" w:rsidP="009934D6">
            <w:pPr>
              <w:spacing w:line="252" w:lineRule="auto"/>
            </w:pPr>
            <w:r>
              <w:t>726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C858FE" w:rsidP="00800766">
            <w:pPr>
              <w:spacing w:line="252" w:lineRule="auto"/>
              <w:ind w:right="-23"/>
            </w:pPr>
            <w: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511" w:rsidRPr="0031621B" w:rsidRDefault="00C858FE" w:rsidP="009934D6">
            <w:pPr>
              <w:spacing w:line="252" w:lineRule="auto"/>
              <w:ind w:left="89" w:right="90"/>
              <w:jc w:val="right"/>
            </w:pPr>
            <w:r>
              <w:t>-4.8</w:t>
            </w:r>
            <w:r w:rsidR="006E0511" w:rsidRPr="0031621B">
              <w:t>%</w:t>
            </w:r>
          </w:p>
        </w:tc>
      </w:tr>
      <w:tr w:rsidR="006E0511" w:rsidRPr="00C41C9C" w:rsidTr="009934D6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6E0511" w:rsidP="006E0511">
            <w:pPr>
              <w:spacing w:line="252" w:lineRule="auto"/>
              <w:ind w:left="62" w:right="100"/>
            </w:pPr>
            <w:r w:rsidRPr="0031621B">
              <w:t>Kenosha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C858FE" w:rsidP="009934D6">
            <w:pPr>
              <w:spacing w:line="252" w:lineRule="auto"/>
            </w:pPr>
            <w:r>
              <w:t>604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C858FE" w:rsidP="00800766">
            <w:pPr>
              <w:spacing w:line="252" w:lineRule="auto"/>
              <w:ind w:right="-23"/>
            </w:pPr>
            <w: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6E0511" w:rsidRPr="0031621B" w:rsidRDefault="00C858FE" w:rsidP="009934D6">
            <w:pPr>
              <w:spacing w:line="252" w:lineRule="auto"/>
              <w:ind w:left="89" w:right="90"/>
              <w:jc w:val="right"/>
            </w:pPr>
            <w:r>
              <w:t>6.3</w:t>
            </w:r>
            <w:r w:rsidR="006E0511" w:rsidRPr="0031621B">
              <w:t>%</w:t>
            </w:r>
          </w:p>
        </w:tc>
      </w:tr>
      <w:tr w:rsidR="006E0511" w:rsidRPr="00C41C9C" w:rsidTr="009934D6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6E0511" w:rsidP="006E0511">
            <w:pPr>
              <w:spacing w:line="252" w:lineRule="auto"/>
              <w:ind w:left="62" w:right="100"/>
            </w:pPr>
            <w:r w:rsidRPr="0031621B">
              <w:t>Walworth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C858FE" w:rsidP="009934D6">
            <w:pPr>
              <w:spacing w:line="252" w:lineRule="auto"/>
            </w:pPr>
            <w:r>
              <w:t>608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C858FE" w:rsidP="00800766">
            <w:pPr>
              <w:spacing w:line="252" w:lineRule="auto"/>
              <w:ind w:right="-23"/>
            </w:pPr>
            <w: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511" w:rsidRPr="0031621B" w:rsidRDefault="00C858FE" w:rsidP="009934D6">
            <w:pPr>
              <w:spacing w:line="252" w:lineRule="auto"/>
              <w:ind w:left="89" w:right="90"/>
              <w:jc w:val="right"/>
            </w:pPr>
            <w:r>
              <w:t>-13.5</w:t>
            </w:r>
            <w:r w:rsidR="006E0511" w:rsidRPr="0031621B">
              <w:t>%</w:t>
            </w:r>
          </w:p>
        </w:tc>
      </w:tr>
      <w:tr w:rsidR="006E0511" w:rsidRPr="00C41C9C" w:rsidTr="009934D6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6E0511" w:rsidP="006E0511">
            <w:pPr>
              <w:spacing w:line="252" w:lineRule="auto"/>
              <w:ind w:left="62" w:right="100"/>
            </w:pPr>
            <w:r w:rsidRPr="0031621B">
              <w:t>7 County Area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C858FE" w:rsidP="009934D6">
            <w:pPr>
              <w:spacing w:line="252" w:lineRule="auto"/>
              <w:ind w:left="-18" w:right="62"/>
            </w:pPr>
            <w:r>
              <w:t>7,942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C858FE" w:rsidP="009934D6">
            <w:pPr>
              <w:spacing w:line="252" w:lineRule="auto"/>
              <w:ind w:left="-9" w:right="-23"/>
            </w:pPr>
            <w:r>
              <w:t>7,381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6E0511" w:rsidRPr="0031621B" w:rsidRDefault="006E0511" w:rsidP="009934D6">
            <w:pPr>
              <w:spacing w:line="252" w:lineRule="auto"/>
              <w:ind w:left="89" w:right="90"/>
              <w:jc w:val="right"/>
            </w:pPr>
            <w:r w:rsidRPr="0031621B">
              <w:t>-</w:t>
            </w:r>
            <w:r w:rsidR="00C858FE">
              <w:t>7.1</w:t>
            </w:r>
            <w:r w:rsidRPr="0031621B">
              <w:t>%</w:t>
            </w:r>
          </w:p>
        </w:tc>
      </w:tr>
    </w:tbl>
    <w:p w:rsidR="005640BF" w:rsidRDefault="005640BF" w:rsidP="001F5CBD">
      <w:pPr>
        <w:spacing w:before="120" w:after="120"/>
        <w:ind w:left="-360" w:right="-360"/>
        <w:contextualSpacing/>
        <w:rPr>
          <w:bCs/>
          <w:sz w:val="24"/>
          <w:szCs w:val="24"/>
        </w:rPr>
      </w:pPr>
    </w:p>
    <w:p w:rsidR="00027002" w:rsidRPr="0031621B" w:rsidRDefault="00027002" w:rsidP="001F5CBD">
      <w:pPr>
        <w:spacing w:before="120" w:after="120"/>
        <w:ind w:left="-360" w:right="-360"/>
        <w:contextualSpacing/>
        <w:rPr>
          <w:bCs/>
        </w:rPr>
      </w:pPr>
    </w:p>
    <w:p w:rsidR="00C066D8" w:rsidRPr="0031621B" w:rsidRDefault="00C066D8">
      <w:pPr>
        <w:spacing w:after="160" w:line="259" w:lineRule="auto"/>
        <w:rPr>
          <w:bCs/>
        </w:rPr>
      </w:pPr>
    </w:p>
    <w:p w:rsidR="005640BF" w:rsidRPr="0031621B" w:rsidRDefault="005640BF">
      <w:pPr>
        <w:spacing w:after="160" w:line="259" w:lineRule="auto"/>
        <w:rPr>
          <w:bCs/>
        </w:rPr>
      </w:pPr>
    </w:p>
    <w:p w:rsidR="005640BF" w:rsidRDefault="005640BF">
      <w:pPr>
        <w:spacing w:after="160" w:line="259" w:lineRule="auto"/>
        <w:rPr>
          <w:bCs/>
        </w:rPr>
      </w:pPr>
    </w:p>
    <w:p w:rsidR="00AE6343" w:rsidRPr="0031621B" w:rsidRDefault="00AE6343">
      <w:pPr>
        <w:spacing w:after="160" w:line="259" w:lineRule="auto"/>
        <w:rPr>
          <w:bCs/>
        </w:rPr>
      </w:pPr>
    </w:p>
    <w:p w:rsidR="005640BF" w:rsidRPr="0031621B" w:rsidRDefault="005640BF">
      <w:pPr>
        <w:spacing w:after="160" w:line="259" w:lineRule="auto"/>
        <w:rPr>
          <w:bCs/>
        </w:rPr>
      </w:pPr>
    </w:p>
    <w:p w:rsidR="005640BF" w:rsidRPr="0031621B" w:rsidRDefault="005640BF">
      <w:pPr>
        <w:spacing w:after="160" w:line="259" w:lineRule="auto"/>
        <w:rPr>
          <w:bCs/>
        </w:rPr>
      </w:pPr>
    </w:p>
    <w:p w:rsidR="005640BF" w:rsidRPr="0031621B" w:rsidRDefault="005640BF">
      <w:pPr>
        <w:spacing w:after="160" w:line="259" w:lineRule="auto"/>
        <w:rPr>
          <w:bCs/>
        </w:rPr>
      </w:pPr>
    </w:p>
    <w:p w:rsidR="005640BF" w:rsidRDefault="005640BF">
      <w:pPr>
        <w:spacing w:after="160" w:line="259" w:lineRule="auto"/>
        <w:rPr>
          <w:bCs/>
        </w:rPr>
      </w:pPr>
    </w:p>
    <w:p w:rsidR="00127EF0" w:rsidRPr="00D10468" w:rsidRDefault="000758D2" w:rsidP="001F5CBD">
      <w:pPr>
        <w:spacing w:before="120" w:after="120"/>
        <w:ind w:left="-360" w:right="-360"/>
        <w:contextualSpacing/>
        <w:rPr>
          <w:b/>
          <w:bCs/>
        </w:rPr>
      </w:pPr>
      <w:r>
        <w:rPr>
          <w:b/>
          <w:bCs/>
        </w:rPr>
        <w:t>I</w:t>
      </w:r>
      <w:r w:rsidR="00127EF0" w:rsidRPr="00D10468">
        <w:rPr>
          <w:b/>
          <w:bCs/>
        </w:rPr>
        <w:t>nventory</w:t>
      </w:r>
    </w:p>
    <w:p w:rsidR="004A5FC1" w:rsidRPr="0031621B" w:rsidRDefault="004A5FC1" w:rsidP="001F5CBD">
      <w:pPr>
        <w:spacing w:before="120" w:after="120"/>
        <w:ind w:left="-360" w:right="-360"/>
        <w:contextualSpacing/>
      </w:pPr>
      <w:r w:rsidRPr="0031621B">
        <w:t>Seasonally adjusted inventory is calculated by taking the homes available for sale in a given month and comparing them to the past 12 months</w:t>
      </w:r>
      <w:r w:rsidR="00D0513E" w:rsidRPr="0031621B">
        <w:t>’</w:t>
      </w:r>
      <w:r w:rsidRPr="0031621B">
        <w:t xml:space="preserve"> average sales.  This tells us how many months it would take to sell the existing homes on the market. </w:t>
      </w:r>
    </w:p>
    <w:p w:rsidR="004A5FC1" w:rsidRPr="0031621B" w:rsidRDefault="009934D6" w:rsidP="009934D6">
      <w:pPr>
        <w:spacing w:before="120" w:after="120"/>
        <w:ind w:left="-360" w:right="-360"/>
        <w:contextualSpacing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-224287</wp:posOffset>
            </wp:positionH>
            <wp:positionV relativeFrom="paragraph">
              <wp:posOffset>-1582</wp:posOffset>
            </wp:positionV>
            <wp:extent cx="4761442" cy="2953809"/>
            <wp:effectExtent l="0" t="0" r="1270" b="1841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4A5FC1" w:rsidRPr="0031621B" w:rsidRDefault="004A5FC1" w:rsidP="001F5CBD">
      <w:pPr>
        <w:spacing w:before="120" w:after="120"/>
        <w:ind w:left="-360" w:right="-360"/>
        <w:contextualSpacing/>
      </w:pPr>
      <w:r w:rsidRPr="0031621B">
        <w:t xml:space="preserve">The seasonally adjusted inventory level for </w:t>
      </w:r>
      <w:r w:rsidR="00F41449">
        <w:t>June</w:t>
      </w:r>
      <w:r w:rsidR="001111CB" w:rsidRPr="0031621B">
        <w:t xml:space="preserve"> was </w:t>
      </w:r>
      <w:r w:rsidR="006C5BE5">
        <w:t>4.0</w:t>
      </w:r>
      <w:r w:rsidRPr="0031621B">
        <w:t xml:space="preserve"> months, </w:t>
      </w:r>
      <w:r w:rsidR="006C5BE5">
        <w:t xml:space="preserve">up </w:t>
      </w:r>
      <w:r w:rsidR="005460CE" w:rsidRPr="0031621B">
        <w:t xml:space="preserve">from </w:t>
      </w:r>
      <w:r w:rsidR="006C5BE5">
        <w:t>May’s 3.8</w:t>
      </w:r>
      <w:r w:rsidRPr="0031621B">
        <w:t xml:space="preserve"> month level.  The seasonally adjusted level was </w:t>
      </w:r>
      <w:r w:rsidR="006C5BE5">
        <w:t>4.0</w:t>
      </w:r>
      <w:r w:rsidRPr="0031621B">
        <w:t xml:space="preserve"> months in </w:t>
      </w:r>
      <w:r w:rsidR="00F41449">
        <w:t>June</w:t>
      </w:r>
      <w:r w:rsidRPr="0031621B">
        <w:t xml:space="preserve"> 201</w:t>
      </w:r>
      <w:r w:rsidR="00DF2199">
        <w:t>8</w:t>
      </w:r>
      <w:r w:rsidRPr="0031621B">
        <w:t>.</w:t>
      </w:r>
    </w:p>
    <w:p w:rsidR="004A5FC1" w:rsidRPr="0031621B" w:rsidRDefault="004A5FC1" w:rsidP="001F5CBD">
      <w:pPr>
        <w:spacing w:before="120" w:after="120"/>
        <w:ind w:left="-360" w:right="-360"/>
        <w:contextualSpacing/>
      </w:pPr>
    </w:p>
    <w:p w:rsidR="00627F72" w:rsidRPr="0031621B" w:rsidRDefault="004A5FC1" w:rsidP="001F5CBD">
      <w:pPr>
        <w:spacing w:before="120" w:after="120"/>
        <w:ind w:left="-360" w:right="-360"/>
        <w:contextualSpacing/>
      </w:pPr>
      <w:r w:rsidRPr="0031621B">
        <w:t xml:space="preserve">We also calculate inventory </w:t>
      </w:r>
      <w:r w:rsidR="00627F72" w:rsidRPr="0031621B">
        <w:t>by s</w:t>
      </w:r>
      <w:r w:rsidR="00127EF0" w:rsidRPr="0031621B">
        <w:t xml:space="preserve">ubtracting the listings </w:t>
      </w:r>
      <w:r w:rsidR="00627F72" w:rsidRPr="0031621B">
        <w:t>that have an “</w:t>
      </w:r>
      <w:r w:rsidR="00127EF0" w:rsidRPr="0031621B">
        <w:t>active offer</w:t>
      </w:r>
      <w:r w:rsidR="00627F72" w:rsidRPr="0031621B">
        <w:t>”</w:t>
      </w:r>
      <w:r w:rsidR="00D0513E" w:rsidRPr="0031621B">
        <w:t xml:space="preserve"> from those available for sale in a given month.</w:t>
      </w:r>
      <w:r w:rsidR="00127EF0" w:rsidRPr="0031621B">
        <w:t xml:space="preserve"> </w:t>
      </w:r>
      <w:r w:rsidR="00627F72" w:rsidRPr="0031621B">
        <w:t xml:space="preserve"> Approximately 8 in 10 listings that buyers place an offer </w:t>
      </w:r>
      <w:r w:rsidR="00D0513E" w:rsidRPr="0031621B">
        <w:t>o</w:t>
      </w:r>
      <w:r w:rsidR="00627F72" w:rsidRPr="0031621B">
        <w:t>n</w:t>
      </w:r>
      <w:r w:rsidR="00D0513E" w:rsidRPr="0031621B">
        <w:t xml:space="preserve"> </w:t>
      </w:r>
      <w:r w:rsidR="00627F72" w:rsidRPr="0031621B">
        <w:t xml:space="preserve">go on to a complete sale.  </w:t>
      </w:r>
      <w:r w:rsidR="00D0513E" w:rsidRPr="0031621B">
        <w:t>This gives us a different perspective of the quantity of homes available on the market.</w:t>
      </w:r>
    </w:p>
    <w:p w:rsidR="00627F72" w:rsidRPr="0031621B" w:rsidRDefault="00627F72" w:rsidP="001F5CBD">
      <w:pPr>
        <w:spacing w:before="120" w:after="120"/>
        <w:ind w:left="-360" w:right="-360"/>
        <w:contextualSpacing/>
      </w:pPr>
    </w:p>
    <w:p w:rsidR="00627F72" w:rsidRDefault="00D0513E" w:rsidP="001F5CBD">
      <w:pPr>
        <w:spacing w:before="120" w:after="120"/>
        <w:ind w:left="-360" w:right="-360"/>
        <w:contextualSpacing/>
      </w:pPr>
      <w:r w:rsidRPr="0031621B">
        <w:t xml:space="preserve">Subtract </w:t>
      </w:r>
      <w:r w:rsidR="001111CB" w:rsidRPr="0031621B">
        <w:t xml:space="preserve">the </w:t>
      </w:r>
      <w:r w:rsidR="007034D3">
        <w:t>2</w:t>
      </w:r>
      <w:r w:rsidR="001111CB" w:rsidRPr="0031621B">
        <w:t>,</w:t>
      </w:r>
      <w:r w:rsidR="006C5BE5">
        <w:t>587</w:t>
      </w:r>
      <w:r w:rsidR="00627F72" w:rsidRPr="0031621B">
        <w:t xml:space="preserve"> listings with an active offer from current listings presents an effective inventory level of </w:t>
      </w:r>
      <w:r w:rsidR="000418A7">
        <w:t>1.</w:t>
      </w:r>
      <w:r w:rsidR="006C5BE5">
        <w:t>9</w:t>
      </w:r>
      <w:r w:rsidR="00627F72" w:rsidRPr="0031621B">
        <w:t xml:space="preserve"> months, </w:t>
      </w:r>
      <w:r w:rsidR="006C5BE5">
        <w:t xml:space="preserve">down </w:t>
      </w:r>
      <w:r w:rsidR="00DF2199">
        <w:t>from</w:t>
      </w:r>
      <w:r w:rsidR="007034D3">
        <w:t xml:space="preserve"> </w:t>
      </w:r>
      <w:r w:rsidR="006C5BE5">
        <w:t>May’s</w:t>
      </w:r>
      <w:r w:rsidR="007034D3">
        <w:t xml:space="preserve"> 1.</w:t>
      </w:r>
      <w:r w:rsidR="006C5BE5">
        <w:t>8</w:t>
      </w:r>
      <w:r w:rsidR="007034D3">
        <w:t xml:space="preserve"> level</w:t>
      </w:r>
      <w:r w:rsidR="00627F72" w:rsidRPr="0031621B">
        <w:t xml:space="preserve">.  A year ago, the same calculation </w:t>
      </w:r>
      <w:r w:rsidR="007034D3">
        <w:t xml:space="preserve">also </w:t>
      </w:r>
      <w:r w:rsidR="00627F72" w:rsidRPr="0031621B">
        <w:t xml:space="preserve">showed </w:t>
      </w:r>
      <w:r w:rsidR="00F41449">
        <w:t>June</w:t>
      </w:r>
      <w:r w:rsidR="00627F72" w:rsidRPr="0031621B">
        <w:t xml:space="preserve">’s inventory level at </w:t>
      </w:r>
      <w:r w:rsidR="000418A7">
        <w:t>1</w:t>
      </w:r>
      <w:r w:rsidR="00627F72" w:rsidRPr="0031621B">
        <w:t>.</w:t>
      </w:r>
      <w:r w:rsidR="006C5BE5">
        <w:t>9</w:t>
      </w:r>
      <w:r w:rsidR="00627F72" w:rsidRPr="0031621B">
        <w:t xml:space="preserve"> months</w:t>
      </w:r>
      <w:r w:rsidRPr="0031621B">
        <w:t>.</w:t>
      </w:r>
    </w:p>
    <w:p w:rsidR="001111CB" w:rsidRPr="0031621B" w:rsidRDefault="001111CB" w:rsidP="001F5CBD">
      <w:pPr>
        <w:spacing w:before="120" w:after="120"/>
        <w:ind w:left="-360" w:right="-360"/>
        <w:contextualSpacing/>
      </w:pPr>
    </w:p>
    <w:p w:rsidR="007034D3" w:rsidRPr="00D10468" w:rsidRDefault="00127EF0" w:rsidP="00D10468">
      <w:pPr>
        <w:spacing w:before="120" w:after="120"/>
        <w:ind w:left="-360" w:right="-360"/>
        <w:contextualSpacing/>
      </w:pPr>
      <w:r w:rsidRPr="00D10468">
        <w:rPr>
          <w:b/>
          <w:bCs/>
        </w:rPr>
        <w:t>Average Sale Price</w:t>
      </w:r>
      <w:r w:rsidR="00323325" w:rsidRPr="00D10468">
        <w:rPr>
          <w:b/>
          <w:bCs/>
        </w:rPr>
        <w:t>s</w:t>
      </w:r>
    </w:p>
    <w:tbl>
      <w:tblPr>
        <w:tblpPr w:leftFromText="180" w:rightFromText="180" w:bottomFromText="115" w:vertAnchor="text" w:horzAnchor="margin" w:tblpX="-360" w:tblpY="391"/>
        <w:tblW w:w="6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1158"/>
        <w:gridCol w:w="1052"/>
        <w:gridCol w:w="1300"/>
        <w:gridCol w:w="1291"/>
      </w:tblGrid>
      <w:tr w:rsidR="00D10468" w:rsidRPr="00C41C9C" w:rsidTr="000758D2">
        <w:trPr>
          <w:trHeight w:val="360"/>
        </w:trPr>
        <w:tc>
          <w:tcPr>
            <w:tcW w:w="65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0468" w:rsidRPr="0031621B" w:rsidRDefault="0050036D" w:rsidP="000758D2">
            <w:pPr>
              <w:spacing w:line="252" w:lineRule="auto"/>
              <w:ind w:left="-108" w:right="85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Pr="0050036D">
              <w:rPr>
                <w:rFonts w:ascii="Arial Narrow" w:hAnsi="Arial Narrow"/>
                <w:b/>
                <w:vertAlign w:val="superscript"/>
              </w:rPr>
              <w:t>nd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D10468" w:rsidRPr="0031621B">
              <w:rPr>
                <w:rFonts w:ascii="Arial Narrow" w:hAnsi="Arial Narrow"/>
                <w:b/>
              </w:rPr>
              <w:t>Quarter Sale Prices</w:t>
            </w:r>
          </w:p>
        </w:tc>
      </w:tr>
      <w:tr w:rsidR="00D10468" w:rsidRPr="00C41C9C" w:rsidTr="000758D2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 w:themeFill="accent1" w:themeFillShade="80"/>
            <w:vAlign w:val="center"/>
            <w:hideMark/>
          </w:tcPr>
          <w:p w:rsidR="00D10468" w:rsidRPr="00754FD0" w:rsidRDefault="00D10468" w:rsidP="000758D2">
            <w:pPr>
              <w:ind w:left="175" w:right="100"/>
              <w:rPr>
                <w:b/>
                <w:color w:val="FFFFFF" w:themeColor="background1"/>
              </w:rPr>
            </w:pPr>
            <w:r w:rsidRPr="00754FD0">
              <w:rPr>
                <w:b/>
                <w:color w:val="FFFFFF" w:themeColor="background1"/>
              </w:rPr>
              <w:t>County</w:t>
            </w:r>
          </w:p>
        </w:tc>
        <w:tc>
          <w:tcPr>
            <w:tcW w:w="1158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468" w:rsidRPr="0031621B" w:rsidRDefault="00D10468" w:rsidP="000758D2">
            <w:pPr>
              <w:spacing w:line="207" w:lineRule="atLeast"/>
              <w:ind w:left="44" w:right="62"/>
              <w:jc w:val="center"/>
              <w:rPr>
                <w:color w:val="FFFFFF" w:themeColor="background1"/>
              </w:rPr>
            </w:pPr>
            <w:r w:rsidRPr="0031621B">
              <w:rPr>
                <w:color w:val="FFFFFF" w:themeColor="background1"/>
              </w:rPr>
              <w:t>201</w:t>
            </w:r>
            <w:r>
              <w:rPr>
                <w:color w:val="FFFFFF" w:themeColor="background1"/>
              </w:rPr>
              <w:t>8</w:t>
            </w:r>
          </w:p>
        </w:tc>
        <w:tc>
          <w:tcPr>
            <w:tcW w:w="105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468" w:rsidRPr="0031621B" w:rsidRDefault="00D10468" w:rsidP="000758D2">
            <w:pPr>
              <w:spacing w:line="207" w:lineRule="atLeast"/>
              <w:ind w:right="-23"/>
              <w:jc w:val="center"/>
              <w:rPr>
                <w:color w:val="FFFFFF" w:themeColor="background1"/>
              </w:rPr>
            </w:pPr>
            <w:r w:rsidRPr="0031621B">
              <w:rPr>
                <w:color w:val="FFFFFF" w:themeColor="background1"/>
              </w:rPr>
              <w:t>201</w:t>
            </w:r>
            <w:r>
              <w:rPr>
                <w:color w:val="FFFFFF" w:themeColor="background1"/>
              </w:rPr>
              <w:t>9</w:t>
            </w:r>
          </w:p>
        </w:tc>
        <w:tc>
          <w:tcPr>
            <w:tcW w:w="1300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 w:themeFill="accent1" w:themeFillShade="80"/>
          </w:tcPr>
          <w:p w:rsidR="00D10468" w:rsidRPr="0031621B" w:rsidRDefault="00D10468" w:rsidP="000758D2">
            <w:pPr>
              <w:ind w:left="89" w:right="65"/>
              <w:jc w:val="center"/>
              <w:rPr>
                <w:color w:val="FFFFFF" w:themeColor="background1"/>
              </w:rPr>
            </w:pPr>
            <w:r w:rsidRPr="0031621B">
              <w:rPr>
                <w:color w:val="FFFFFF" w:themeColor="background1"/>
              </w:rPr>
              <w:t>$ Change</w:t>
            </w:r>
          </w:p>
        </w:tc>
        <w:tc>
          <w:tcPr>
            <w:tcW w:w="1291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 w:themeFill="accent1" w:themeFillShade="80"/>
          </w:tcPr>
          <w:p w:rsidR="00D10468" w:rsidRPr="00754FD0" w:rsidRDefault="00D10468" w:rsidP="000758D2">
            <w:pPr>
              <w:ind w:left="89" w:right="90"/>
              <w:jc w:val="center"/>
              <w:rPr>
                <w:color w:val="FFFFFF" w:themeColor="background1"/>
              </w:rPr>
            </w:pPr>
            <w:r w:rsidRPr="00754FD0">
              <w:rPr>
                <w:color w:val="FFFFFF" w:themeColor="background1"/>
              </w:rPr>
              <w:t>% Change</w:t>
            </w:r>
          </w:p>
        </w:tc>
      </w:tr>
      <w:tr w:rsidR="009934D6" w:rsidRPr="00C41C9C" w:rsidTr="000758D2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4D6" w:rsidRPr="00C41C9C" w:rsidRDefault="009934D6" w:rsidP="000758D2">
            <w:pPr>
              <w:spacing w:line="252" w:lineRule="auto"/>
              <w:ind w:left="62" w:right="100"/>
            </w:pPr>
            <w:r w:rsidRPr="00C41C9C">
              <w:t>Milwaukee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34D6" w:rsidRPr="0031621B" w:rsidRDefault="009934D6" w:rsidP="000758D2">
            <w:pPr>
              <w:spacing w:line="252" w:lineRule="auto"/>
              <w:ind w:left="44" w:right="62"/>
            </w:pPr>
            <w:r w:rsidRPr="0031621B">
              <w:t>$</w:t>
            </w:r>
            <w:r w:rsidRPr="009934D6">
              <w:t>184</w:t>
            </w:r>
            <w:r w:rsidR="00AD60F7">
              <w:t>,</w:t>
            </w:r>
            <w:r w:rsidRPr="009934D6">
              <w:t>902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34D6" w:rsidRPr="0031621B" w:rsidRDefault="009934D6" w:rsidP="000758D2">
            <w:pPr>
              <w:spacing w:line="252" w:lineRule="auto"/>
              <w:ind w:right="-23"/>
            </w:pPr>
            <w:r w:rsidRPr="0031621B">
              <w:t>$</w:t>
            </w:r>
            <w:r w:rsidRPr="009934D6">
              <w:t>196</w:t>
            </w:r>
            <w:r w:rsidR="00AD60F7">
              <w:t>,</w:t>
            </w:r>
            <w:r w:rsidRPr="009934D6">
              <w:t>166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4D6" w:rsidRPr="00CE17BF" w:rsidRDefault="009934D6" w:rsidP="000758D2">
            <w:pPr>
              <w:ind w:right="238"/>
              <w:jc w:val="right"/>
            </w:pPr>
            <w:r w:rsidRPr="00CE17BF">
              <w:t xml:space="preserve"> $11,264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9934D6" w:rsidRDefault="009934D6" w:rsidP="000758D2">
            <w:pPr>
              <w:ind w:left="32" w:right="89"/>
              <w:jc w:val="center"/>
            </w:pPr>
            <w:r w:rsidRPr="00CE17BF">
              <w:t>6.1%</w:t>
            </w:r>
          </w:p>
        </w:tc>
      </w:tr>
      <w:tr w:rsidR="003B3756" w:rsidRPr="00C41C9C" w:rsidTr="000758D2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56" w:rsidRPr="00C41C9C" w:rsidRDefault="003B3756" w:rsidP="000758D2">
            <w:pPr>
              <w:spacing w:line="252" w:lineRule="auto"/>
              <w:ind w:left="62" w:right="100"/>
            </w:pPr>
            <w:r w:rsidRPr="00C41C9C">
              <w:t>Waukesha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756" w:rsidRPr="0031621B" w:rsidRDefault="003B3756" w:rsidP="000758D2">
            <w:pPr>
              <w:spacing w:line="252" w:lineRule="auto"/>
              <w:ind w:left="44" w:right="62"/>
            </w:pPr>
            <w:r w:rsidRPr="0031621B">
              <w:t>$</w:t>
            </w:r>
            <w:r w:rsidRPr="003B3756">
              <w:t>327</w:t>
            </w:r>
            <w:r w:rsidR="00AD60F7">
              <w:t>,</w:t>
            </w:r>
            <w:r w:rsidRPr="003B3756">
              <w:t>182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756" w:rsidRPr="0031621B" w:rsidRDefault="003B3756" w:rsidP="000758D2">
            <w:pPr>
              <w:spacing w:line="252" w:lineRule="auto"/>
              <w:ind w:right="-23"/>
            </w:pPr>
            <w:r w:rsidRPr="0031621B">
              <w:t>$</w:t>
            </w:r>
            <w:r w:rsidRPr="003B3756">
              <w:t>351</w:t>
            </w:r>
            <w:r w:rsidR="00AD60F7">
              <w:t>,</w:t>
            </w:r>
            <w:r w:rsidRPr="003B3756">
              <w:t>508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3B3756" w:rsidRPr="003C4DC7" w:rsidRDefault="003B3756" w:rsidP="000758D2">
            <w:pPr>
              <w:ind w:right="238"/>
              <w:jc w:val="right"/>
            </w:pPr>
            <w:r w:rsidRPr="003C4DC7">
              <w:t xml:space="preserve"> $24,326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3B3756" w:rsidRDefault="003B3756" w:rsidP="000758D2">
            <w:pPr>
              <w:ind w:left="32" w:right="89"/>
              <w:jc w:val="center"/>
            </w:pPr>
            <w:r w:rsidRPr="003C4DC7">
              <w:t>7.4%</w:t>
            </w:r>
          </w:p>
        </w:tc>
      </w:tr>
      <w:tr w:rsidR="003B3756" w:rsidRPr="00C41C9C" w:rsidTr="000758D2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56" w:rsidRPr="00C41C9C" w:rsidRDefault="003B3756" w:rsidP="000758D2">
            <w:pPr>
              <w:spacing w:line="252" w:lineRule="auto"/>
              <w:ind w:left="62" w:right="100"/>
            </w:pPr>
            <w:r w:rsidRPr="00C41C9C">
              <w:t>Washington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756" w:rsidRPr="0031621B" w:rsidRDefault="003B3756" w:rsidP="000758D2">
            <w:pPr>
              <w:spacing w:line="252" w:lineRule="auto"/>
              <w:ind w:left="44" w:right="62"/>
            </w:pPr>
            <w:r w:rsidRPr="0031621B">
              <w:t>$</w:t>
            </w:r>
            <w:r w:rsidRPr="003B3756">
              <w:t>261</w:t>
            </w:r>
            <w:r w:rsidR="00AD60F7">
              <w:t>,</w:t>
            </w:r>
            <w:r w:rsidRPr="003B3756">
              <w:t>931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756" w:rsidRPr="0031621B" w:rsidRDefault="003B3756" w:rsidP="000758D2">
            <w:pPr>
              <w:spacing w:line="252" w:lineRule="auto"/>
              <w:ind w:right="-23"/>
            </w:pPr>
            <w:r w:rsidRPr="0031621B">
              <w:t>$</w:t>
            </w:r>
            <w:r w:rsidRPr="003B3756">
              <w:t>267</w:t>
            </w:r>
            <w:r w:rsidR="00AD60F7">
              <w:t>,</w:t>
            </w:r>
            <w:r w:rsidRPr="003B3756">
              <w:t>898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756" w:rsidRPr="00922148" w:rsidRDefault="003B3756" w:rsidP="000758D2">
            <w:pPr>
              <w:ind w:right="238"/>
              <w:jc w:val="right"/>
            </w:pPr>
            <w:r w:rsidRPr="00922148">
              <w:t xml:space="preserve">$5,967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3B3756" w:rsidRDefault="003B3756" w:rsidP="000758D2">
            <w:pPr>
              <w:ind w:left="32" w:right="89"/>
              <w:jc w:val="center"/>
            </w:pPr>
            <w:r w:rsidRPr="00922148">
              <w:t>2.3%</w:t>
            </w:r>
          </w:p>
        </w:tc>
      </w:tr>
      <w:tr w:rsidR="003B3756" w:rsidRPr="00C41C9C" w:rsidTr="000758D2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56" w:rsidRPr="006D22A4" w:rsidRDefault="003B3756" w:rsidP="000758D2">
            <w:pPr>
              <w:spacing w:line="252" w:lineRule="auto"/>
              <w:ind w:left="62" w:right="100"/>
            </w:pPr>
            <w:r w:rsidRPr="006D22A4">
              <w:t>Ozaukee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756" w:rsidRPr="0031621B" w:rsidRDefault="003B3756" w:rsidP="000758D2">
            <w:pPr>
              <w:spacing w:line="252" w:lineRule="auto"/>
              <w:ind w:left="44" w:right="62"/>
            </w:pPr>
            <w:r w:rsidRPr="0031621B">
              <w:t>$</w:t>
            </w:r>
            <w:r w:rsidRPr="003B3756">
              <w:t>354</w:t>
            </w:r>
            <w:r w:rsidR="00AD60F7">
              <w:t>,</w:t>
            </w:r>
            <w:r w:rsidRPr="003B3756">
              <w:t>452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756" w:rsidRPr="0031621B" w:rsidRDefault="003B3756" w:rsidP="000758D2">
            <w:pPr>
              <w:spacing w:line="252" w:lineRule="auto"/>
              <w:ind w:right="-23"/>
            </w:pPr>
            <w:r w:rsidRPr="0031621B">
              <w:t>$</w:t>
            </w:r>
            <w:r w:rsidRPr="003B3756">
              <w:t>360</w:t>
            </w:r>
            <w:r w:rsidR="00AD60F7">
              <w:t>,</w:t>
            </w:r>
            <w:r w:rsidRPr="003B3756">
              <w:t>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3B3756" w:rsidRPr="00311A73" w:rsidRDefault="003B3756" w:rsidP="000758D2">
            <w:pPr>
              <w:ind w:right="238"/>
              <w:jc w:val="right"/>
            </w:pPr>
            <w:r w:rsidRPr="00311A73">
              <w:t xml:space="preserve">$6,368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3B3756" w:rsidRDefault="003B3756" w:rsidP="000758D2">
            <w:pPr>
              <w:ind w:left="32" w:right="89"/>
              <w:jc w:val="center"/>
            </w:pPr>
            <w:r w:rsidRPr="00311A73">
              <w:t>1.8%</w:t>
            </w:r>
          </w:p>
        </w:tc>
      </w:tr>
      <w:tr w:rsidR="00D10468" w:rsidRPr="00C41C9C" w:rsidTr="000758D2">
        <w:trPr>
          <w:trHeight w:val="288"/>
        </w:trPr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468" w:rsidRPr="00C41C9C" w:rsidRDefault="00D10468" w:rsidP="000758D2">
            <w:pPr>
              <w:spacing w:line="252" w:lineRule="auto"/>
              <w:ind w:left="62" w:right="100"/>
            </w:pPr>
            <w:r w:rsidRPr="00C41C9C">
              <w:t>4 County Area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68" w:rsidRPr="0031621B" w:rsidRDefault="00D10468" w:rsidP="000758D2">
            <w:pPr>
              <w:spacing w:line="252" w:lineRule="auto"/>
              <w:ind w:left="44" w:right="62"/>
            </w:pPr>
            <w:r w:rsidRPr="0031621B">
              <w:t>$</w:t>
            </w:r>
            <w:r w:rsidR="00AD60F7">
              <w:t>282</w:t>
            </w:r>
            <w:r>
              <w:t>,</w:t>
            </w:r>
            <w:r w:rsidR="00AD60F7">
              <w:t>117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68" w:rsidRPr="0031621B" w:rsidRDefault="00D10468" w:rsidP="000758D2">
            <w:pPr>
              <w:spacing w:line="252" w:lineRule="auto"/>
              <w:ind w:right="-23"/>
            </w:pPr>
            <w:r w:rsidRPr="0031621B">
              <w:t>$</w:t>
            </w:r>
            <w:r w:rsidR="00AD60F7">
              <w:t>294</w:t>
            </w:r>
            <w:r>
              <w:t>,</w:t>
            </w:r>
            <w:r w:rsidR="00AD60F7">
              <w:t>098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468" w:rsidRPr="0031621B" w:rsidRDefault="00D10468" w:rsidP="000758D2">
            <w:pPr>
              <w:spacing w:line="252" w:lineRule="auto"/>
              <w:ind w:right="238"/>
              <w:jc w:val="right"/>
            </w:pPr>
            <w:r w:rsidRPr="0031621B">
              <w:t>$</w:t>
            </w:r>
            <w:r w:rsidR="00AD60F7">
              <w:t>11</w:t>
            </w:r>
            <w:r>
              <w:t>,</w:t>
            </w:r>
            <w:r w:rsidR="00AD60F7">
              <w:t>9</w:t>
            </w:r>
            <w:r>
              <w:t>8</w:t>
            </w:r>
            <w:r w:rsidR="00AD60F7"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0468" w:rsidRPr="00C41C9C" w:rsidRDefault="00D10468" w:rsidP="000758D2">
            <w:pPr>
              <w:spacing w:line="252" w:lineRule="auto"/>
              <w:ind w:left="32" w:right="89"/>
              <w:jc w:val="center"/>
            </w:pPr>
            <w:r>
              <w:t>4</w:t>
            </w:r>
            <w:r w:rsidR="00AD60F7">
              <w:t>.2</w:t>
            </w:r>
            <w:r w:rsidRPr="00C41C9C">
              <w:t>%</w:t>
            </w:r>
          </w:p>
        </w:tc>
      </w:tr>
      <w:tr w:rsidR="00D10468" w:rsidRPr="00C41C9C" w:rsidTr="000758D2">
        <w:trPr>
          <w:trHeight w:val="179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68" w:rsidRPr="00156337" w:rsidRDefault="00D10468" w:rsidP="000758D2">
            <w:pPr>
              <w:spacing w:line="252" w:lineRule="auto"/>
              <w:ind w:left="62" w:right="100"/>
              <w:rPr>
                <w:sz w:val="10"/>
                <w:szCs w:val="1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68" w:rsidRPr="00156337" w:rsidRDefault="00D10468" w:rsidP="000758D2">
            <w:pPr>
              <w:spacing w:line="252" w:lineRule="auto"/>
              <w:ind w:left="44" w:right="62"/>
              <w:rPr>
                <w:sz w:val="10"/>
                <w:szCs w:val="1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68" w:rsidRPr="00156337" w:rsidRDefault="00D10468" w:rsidP="000758D2">
            <w:pPr>
              <w:spacing w:line="252" w:lineRule="auto"/>
              <w:ind w:right="-23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D10468" w:rsidRPr="00156337" w:rsidRDefault="00D10468" w:rsidP="000758D2">
            <w:pPr>
              <w:spacing w:line="252" w:lineRule="auto"/>
              <w:ind w:right="238"/>
              <w:jc w:val="right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D10468" w:rsidRPr="00156337" w:rsidRDefault="00D10468" w:rsidP="000758D2">
            <w:pPr>
              <w:spacing w:line="252" w:lineRule="auto"/>
              <w:ind w:left="32" w:right="89"/>
              <w:jc w:val="center"/>
              <w:rPr>
                <w:sz w:val="10"/>
                <w:szCs w:val="10"/>
              </w:rPr>
            </w:pPr>
          </w:p>
        </w:tc>
      </w:tr>
      <w:tr w:rsidR="003B3756" w:rsidRPr="00C41C9C" w:rsidTr="000758D2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756" w:rsidRPr="00C41C9C" w:rsidRDefault="003B3756" w:rsidP="000758D2">
            <w:pPr>
              <w:spacing w:line="252" w:lineRule="auto"/>
              <w:ind w:left="62" w:right="100"/>
            </w:pPr>
            <w:r>
              <w:t>Racine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756" w:rsidRDefault="003B3756" w:rsidP="000758D2">
            <w:pPr>
              <w:spacing w:line="252" w:lineRule="auto"/>
              <w:ind w:left="44" w:right="62"/>
            </w:pPr>
            <w:r>
              <w:t>$</w:t>
            </w:r>
            <w:r w:rsidRPr="003B3756">
              <w:t>194</w:t>
            </w:r>
            <w:r w:rsidR="009A3D9D">
              <w:t>,</w:t>
            </w:r>
            <w:r w:rsidRPr="003B3756">
              <w:t>040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756" w:rsidRDefault="003B3756" w:rsidP="000758D2">
            <w:pPr>
              <w:spacing w:line="252" w:lineRule="auto"/>
              <w:ind w:right="-23"/>
            </w:pPr>
            <w:r>
              <w:t>$</w:t>
            </w:r>
            <w:r w:rsidRPr="003B3756">
              <w:t>210</w:t>
            </w:r>
            <w:r w:rsidR="009A3D9D">
              <w:t>,</w:t>
            </w:r>
            <w:r w:rsidRPr="003B3756">
              <w:t>457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756" w:rsidRPr="00B1683E" w:rsidRDefault="003B3756" w:rsidP="000758D2">
            <w:pPr>
              <w:ind w:right="238"/>
              <w:jc w:val="right"/>
            </w:pPr>
            <w:r w:rsidRPr="00B1683E">
              <w:t xml:space="preserve"> $16,417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3B3756" w:rsidRDefault="003B3756" w:rsidP="000758D2">
            <w:pPr>
              <w:ind w:left="32" w:right="89"/>
              <w:jc w:val="center"/>
            </w:pPr>
            <w:r w:rsidRPr="00B1683E">
              <w:t>8.5%</w:t>
            </w:r>
          </w:p>
        </w:tc>
      </w:tr>
      <w:tr w:rsidR="003B3756" w:rsidRPr="00C41C9C" w:rsidTr="000758D2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756" w:rsidRDefault="003B3756" w:rsidP="000758D2">
            <w:pPr>
              <w:spacing w:line="252" w:lineRule="auto"/>
              <w:ind w:left="62" w:right="100"/>
            </w:pPr>
            <w:r>
              <w:t>Kenosha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756" w:rsidRDefault="003B3756" w:rsidP="000758D2">
            <w:pPr>
              <w:spacing w:line="252" w:lineRule="auto"/>
              <w:ind w:left="44" w:right="62"/>
            </w:pPr>
            <w:r>
              <w:t>$</w:t>
            </w:r>
            <w:r w:rsidRPr="003B3756">
              <w:t>204</w:t>
            </w:r>
            <w:r w:rsidR="009A3D9D">
              <w:t>,</w:t>
            </w:r>
            <w:r w:rsidRPr="003B3756">
              <w:t>866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756" w:rsidRDefault="003B3756" w:rsidP="000758D2">
            <w:pPr>
              <w:spacing w:line="252" w:lineRule="auto"/>
              <w:ind w:right="-23"/>
            </w:pPr>
            <w:r>
              <w:t>$</w:t>
            </w:r>
            <w:r w:rsidRPr="003B3756">
              <w:t>222</w:t>
            </w:r>
            <w:r w:rsidR="009A3D9D">
              <w:t>,</w:t>
            </w:r>
            <w:r w:rsidRPr="003B3756">
              <w:t>834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3B3756" w:rsidRPr="00536298" w:rsidRDefault="003B3756" w:rsidP="000758D2">
            <w:pPr>
              <w:ind w:right="238"/>
              <w:jc w:val="right"/>
            </w:pPr>
            <w:r w:rsidRPr="00536298">
              <w:t xml:space="preserve"> $17,968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3B3756" w:rsidRDefault="003B3756" w:rsidP="000758D2">
            <w:pPr>
              <w:ind w:left="32" w:right="89"/>
              <w:jc w:val="center"/>
            </w:pPr>
            <w:r w:rsidRPr="00536298">
              <w:t>8.8%</w:t>
            </w:r>
          </w:p>
        </w:tc>
      </w:tr>
      <w:tr w:rsidR="003B3756" w:rsidRPr="00C41C9C" w:rsidTr="000758D2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756" w:rsidRDefault="003B3756" w:rsidP="000758D2">
            <w:pPr>
              <w:spacing w:line="252" w:lineRule="auto"/>
              <w:ind w:left="62" w:right="100"/>
            </w:pPr>
            <w:r>
              <w:t>Walworth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756" w:rsidRDefault="003B3756" w:rsidP="000758D2">
            <w:pPr>
              <w:spacing w:line="252" w:lineRule="auto"/>
              <w:ind w:left="44" w:right="62"/>
            </w:pPr>
            <w:r>
              <w:t>$</w:t>
            </w:r>
            <w:r w:rsidRPr="003B3756">
              <w:t>312</w:t>
            </w:r>
            <w:r w:rsidR="009A3D9D">
              <w:t>,</w:t>
            </w:r>
            <w:r w:rsidRPr="003B3756">
              <w:t>419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756" w:rsidRDefault="003B3756" w:rsidP="000758D2">
            <w:pPr>
              <w:spacing w:line="252" w:lineRule="auto"/>
              <w:ind w:right="-23"/>
            </w:pPr>
            <w:r>
              <w:t>$</w:t>
            </w:r>
            <w:r w:rsidRPr="003B3756">
              <w:t>293</w:t>
            </w:r>
            <w:r w:rsidR="009A3D9D">
              <w:t>,</w:t>
            </w:r>
            <w:r w:rsidRPr="003B3756">
              <w:t>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756" w:rsidRPr="009933B7" w:rsidRDefault="003B3756" w:rsidP="000758D2">
            <w:pPr>
              <w:ind w:right="238"/>
              <w:jc w:val="right"/>
            </w:pPr>
            <w:r w:rsidRPr="009933B7">
              <w:t xml:space="preserve"> $(19,118)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756" w:rsidRDefault="003B3756" w:rsidP="000758D2">
            <w:pPr>
              <w:ind w:left="32" w:right="89"/>
              <w:jc w:val="center"/>
            </w:pPr>
            <w:r w:rsidRPr="009933B7">
              <w:t>-6.1%</w:t>
            </w:r>
          </w:p>
        </w:tc>
      </w:tr>
      <w:tr w:rsidR="00D10468" w:rsidRPr="00C41C9C" w:rsidTr="000758D2">
        <w:trPr>
          <w:trHeight w:val="288"/>
        </w:trPr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68" w:rsidRDefault="00D10468" w:rsidP="000758D2">
            <w:pPr>
              <w:spacing w:line="252" w:lineRule="auto"/>
              <w:ind w:left="62" w:right="100"/>
            </w:pPr>
            <w:r>
              <w:t>7 County Area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68" w:rsidRDefault="00D10468" w:rsidP="000758D2">
            <w:pPr>
              <w:spacing w:line="252" w:lineRule="auto"/>
              <w:ind w:left="44" w:right="62"/>
            </w:pPr>
            <w:r>
              <w:t>$</w:t>
            </w:r>
            <w:r w:rsidR="009A3D9D">
              <w:t>262</w:t>
            </w:r>
            <w:r w:rsidR="00AD60F7">
              <w:t>,</w:t>
            </w:r>
            <w:r w:rsidR="009A3D9D">
              <w:t>827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68" w:rsidRDefault="00D10468" w:rsidP="000758D2">
            <w:pPr>
              <w:spacing w:line="252" w:lineRule="auto"/>
              <w:ind w:right="-23"/>
            </w:pPr>
            <w:r>
              <w:t>$</w:t>
            </w:r>
            <w:r w:rsidR="009A3D9D">
              <w:t>271,855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D10468" w:rsidRDefault="00D10468" w:rsidP="000758D2">
            <w:pPr>
              <w:spacing w:line="252" w:lineRule="auto"/>
              <w:ind w:right="238"/>
              <w:jc w:val="right"/>
            </w:pPr>
            <w:r>
              <w:t>$</w:t>
            </w:r>
            <w:r w:rsidR="009A3D9D">
              <w:t>9</w:t>
            </w:r>
            <w:r w:rsidR="00AD60F7">
              <w:t>,</w:t>
            </w:r>
            <w:r w:rsidR="009A3D9D">
              <w:t>027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D10468" w:rsidRDefault="009A3D9D" w:rsidP="000758D2">
            <w:pPr>
              <w:spacing w:line="252" w:lineRule="auto"/>
              <w:ind w:left="32" w:right="89"/>
              <w:jc w:val="center"/>
            </w:pPr>
            <w:r>
              <w:t>3</w:t>
            </w:r>
            <w:r w:rsidR="00AD60F7">
              <w:t>.</w:t>
            </w:r>
            <w:r>
              <w:t>4</w:t>
            </w:r>
            <w:r w:rsidR="00D10468">
              <w:t>%</w:t>
            </w:r>
          </w:p>
        </w:tc>
      </w:tr>
    </w:tbl>
    <w:p w:rsidR="007034D3" w:rsidRDefault="000758D2" w:rsidP="00D10468">
      <w:pPr>
        <w:spacing w:before="120" w:after="120"/>
        <w:ind w:left="-360" w:right="-360"/>
        <w:contextualSpacing/>
      </w:pPr>
      <w:r>
        <w:t xml:space="preserve">Despite the apparent slowing of the economy, </w:t>
      </w:r>
      <w:r w:rsidR="00127EF0" w:rsidRPr="0031621B">
        <w:t xml:space="preserve">average sale price in </w:t>
      </w:r>
      <w:r w:rsidR="007034D3">
        <w:t xml:space="preserve">the Metropolitan </w:t>
      </w:r>
      <w:r w:rsidR="00127EF0" w:rsidRPr="0031621B">
        <w:t xml:space="preserve">counties </w:t>
      </w:r>
      <w:r w:rsidR="007034D3">
        <w:t xml:space="preserve">was up </w:t>
      </w:r>
      <w:r>
        <w:t xml:space="preserve">a healthy </w:t>
      </w:r>
      <w:r w:rsidR="007034D3">
        <w:t>4</w:t>
      </w:r>
      <w:r>
        <w:t>.2</w:t>
      </w:r>
      <w:r w:rsidR="007034D3">
        <w:t xml:space="preserve">%, </w:t>
      </w:r>
      <w:r w:rsidR="00857CA5" w:rsidRPr="0031621B">
        <w:t xml:space="preserve">in </w:t>
      </w:r>
      <w:r w:rsidR="007034D3">
        <w:t xml:space="preserve">the </w:t>
      </w:r>
      <w:r>
        <w:t>2</w:t>
      </w:r>
      <w:r w:rsidRPr="000758D2">
        <w:rPr>
          <w:vertAlign w:val="superscript"/>
        </w:rPr>
        <w:t>nd</w:t>
      </w:r>
      <w:r>
        <w:t xml:space="preserve"> </w:t>
      </w:r>
      <w:r w:rsidR="007034D3">
        <w:t xml:space="preserve">quarter. </w:t>
      </w:r>
      <w:r w:rsidR="00857CA5" w:rsidRPr="0031621B">
        <w:t xml:space="preserve">SE Wisconsin </w:t>
      </w:r>
      <w:r w:rsidR="00127EF0" w:rsidRPr="0031621B">
        <w:t xml:space="preserve">was </w:t>
      </w:r>
      <w:r>
        <w:t xml:space="preserve">also up </w:t>
      </w:r>
      <w:r w:rsidR="007034D3">
        <w:t>3.</w:t>
      </w:r>
      <w:r>
        <w:t>4</w:t>
      </w:r>
      <w:r w:rsidR="007034D3">
        <w:t>%</w:t>
      </w:r>
      <w:r>
        <w:t xml:space="preserve">, with </w:t>
      </w:r>
      <w:r w:rsidR="00D10468">
        <w:t>Walworth County</w:t>
      </w:r>
      <w:r>
        <w:t xml:space="preserve"> the only market seeing a decline</w:t>
      </w:r>
      <w:r w:rsidR="00D10468">
        <w:t xml:space="preserve">. </w:t>
      </w:r>
    </w:p>
    <w:p w:rsidR="00D10468" w:rsidRDefault="00D10468" w:rsidP="00D10468">
      <w:pPr>
        <w:spacing w:before="120" w:after="120"/>
        <w:ind w:left="-360" w:right="-360"/>
        <w:contextualSpacing/>
      </w:pPr>
    </w:p>
    <w:p w:rsidR="00D10468" w:rsidRDefault="00D10468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D10468" w:rsidRDefault="00D10468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D10468" w:rsidRDefault="00D10468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D10468" w:rsidRDefault="00D10468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D10468" w:rsidRDefault="00D10468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D10468" w:rsidRDefault="00D10468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EB2CA3" w:rsidRDefault="00EB2CA3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EB2CA3" w:rsidRDefault="00EB2CA3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0758D2" w:rsidRDefault="000758D2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50036D" w:rsidRDefault="0050036D" w:rsidP="001F5CBD">
      <w:pPr>
        <w:spacing w:before="120" w:after="120"/>
        <w:ind w:left="-360" w:right="-360"/>
        <w:contextualSpacing/>
        <w:rPr>
          <w:sz w:val="24"/>
          <w:szCs w:val="24"/>
        </w:rPr>
      </w:pPr>
      <w:r w:rsidRPr="000758D2">
        <w:rPr>
          <w:noProof/>
        </w:rPr>
        <w:drawing>
          <wp:anchor distT="0" distB="0" distL="114300" distR="114300" simplePos="0" relativeHeight="251670528" behindDoc="0" locked="0" layoutInCell="1" allowOverlap="1" wp14:anchorId="538DC699" wp14:editId="44DD10A6">
            <wp:simplePos x="0" y="0"/>
            <wp:positionH relativeFrom="column">
              <wp:posOffset>-181155</wp:posOffset>
            </wp:positionH>
            <wp:positionV relativeFrom="paragraph">
              <wp:posOffset>138107</wp:posOffset>
            </wp:positionV>
            <wp:extent cx="4857750" cy="2800350"/>
            <wp:effectExtent l="0" t="0" r="0" b="0"/>
            <wp:wrapSquare wrapText="bothSides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50036D" w:rsidRDefault="0050036D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0758D2" w:rsidRDefault="000758D2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0758D2" w:rsidRDefault="000758D2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0758D2" w:rsidRDefault="000758D2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0758D2" w:rsidRDefault="000758D2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0758D2" w:rsidRDefault="000758D2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0758D2" w:rsidRDefault="000758D2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0758D2" w:rsidRDefault="000758D2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0758D2" w:rsidRDefault="000758D2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0758D2" w:rsidRDefault="000758D2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0758D2" w:rsidRDefault="000758D2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0758D2" w:rsidRDefault="000758D2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0758D2" w:rsidRDefault="000758D2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0758D2" w:rsidRDefault="000758D2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0758D2" w:rsidRDefault="000758D2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0758D2" w:rsidRDefault="000758D2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0758D2" w:rsidRDefault="000758D2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127EF0" w:rsidRPr="0031621B" w:rsidRDefault="00127EF0" w:rsidP="001F5CBD">
      <w:pPr>
        <w:spacing w:before="120" w:after="120"/>
        <w:ind w:left="-360" w:right="-360"/>
        <w:contextualSpacing/>
        <w:jc w:val="both"/>
        <w:rPr>
          <w:b/>
          <w:bCs/>
          <w:u w:val="single"/>
        </w:rPr>
      </w:pPr>
      <w:r w:rsidRPr="0031621B">
        <w:rPr>
          <w:b/>
          <w:bCs/>
          <w:u w:val="single"/>
        </w:rPr>
        <w:t>Where to go</w:t>
      </w:r>
    </w:p>
    <w:p w:rsidR="00127EF0" w:rsidRPr="0031621B" w:rsidRDefault="00127EF0" w:rsidP="001F5CBD">
      <w:pPr>
        <w:spacing w:before="120" w:after="120"/>
        <w:ind w:left="-360" w:right="-360"/>
        <w:contextualSpacing/>
      </w:pPr>
      <w:r w:rsidRPr="0031621B">
        <w:t>Buyers should seek the counsel of a REALTOR® in determining their best housing options, and sellers need a REALTORS® expert advice in making correct marketing decisions with their home</w:t>
      </w:r>
      <w:r w:rsidR="001B4CFE" w:rsidRPr="0031621B">
        <w:t>s</w:t>
      </w:r>
      <w:r w:rsidRPr="0031621B">
        <w:t>.</w:t>
      </w:r>
    </w:p>
    <w:p w:rsidR="00127EF0" w:rsidRPr="0031621B" w:rsidRDefault="00127EF0" w:rsidP="001F5CBD">
      <w:pPr>
        <w:spacing w:before="120" w:after="120"/>
        <w:ind w:left="-360" w:right="-360"/>
        <w:contextualSpacing/>
      </w:pPr>
    </w:p>
    <w:p w:rsidR="00127EF0" w:rsidRPr="0031621B" w:rsidRDefault="00127EF0" w:rsidP="001F5CBD">
      <w:pPr>
        <w:spacing w:before="120" w:after="120"/>
        <w:ind w:left="-360" w:right="-360"/>
        <w:contextualSpacing/>
      </w:pPr>
      <w:r w:rsidRPr="0031621B">
        <w:t>The Greater Milwaukee Association of REALTORS</w:t>
      </w:r>
      <w:r w:rsidRPr="0031621B">
        <w:rPr>
          <w:vertAlign w:val="superscript"/>
        </w:rPr>
        <w:t>®</w:t>
      </w:r>
      <w:r w:rsidRPr="0031621B">
        <w:t xml:space="preserve"> is a 4,000-member strong professional organization dedicated to providing information, services and products to “help REALTORS</w:t>
      </w:r>
      <w:r w:rsidRPr="0031621B">
        <w:rPr>
          <w:vertAlign w:val="superscript"/>
        </w:rPr>
        <w:t>®</w:t>
      </w:r>
      <w:r w:rsidRPr="0031621B">
        <w:t xml:space="preserve"> help their clients” buy and sell real estate.  Data for this report was collected by Metro MLS, Inc. a wholly-owned subsidiary of the GMAR.</w:t>
      </w:r>
    </w:p>
    <w:p w:rsidR="00127EF0" w:rsidRDefault="00127EF0" w:rsidP="001F5CBD">
      <w:pPr>
        <w:spacing w:before="120" w:after="120"/>
        <w:ind w:left="-360" w:right="-360"/>
        <w:contextualSpacing/>
      </w:pPr>
    </w:p>
    <w:p w:rsidR="00AE6343" w:rsidRPr="0031621B" w:rsidRDefault="00AE6343" w:rsidP="001F5CBD">
      <w:pPr>
        <w:spacing w:before="120" w:after="120"/>
        <w:ind w:left="-360" w:right="-360"/>
        <w:contextualSpacing/>
      </w:pPr>
    </w:p>
    <w:p w:rsidR="00127EF0" w:rsidRDefault="00127EF0" w:rsidP="001F5CBD">
      <w:pPr>
        <w:spacing w:before="120" w:after="120"/>
        <w:ind w:left="-360" w:right="-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* Sales and Listing figures differ b</w:t>
      </w:r>
      <w:r w:rsidR="00DC6504">
        <w:rPr>
          <w:sz w:val="20"/>
          <w:szCs w:val="20"/>
        </w:rPr>
        <w:t>etween the “Monthly Stats” and quarter</w:t>
      </w:r>
      <w:r>
        <w:rPr>
          <w:sz w:val="20"/>
          <w:szCs w:val="20"/>
        </w:rPr>
        <w:t xml:space="preserve"> (or year-end) </w:t>
      </w:r>
      <w:r w:rsidR="00DC6504">
        <w:rPr>
          <w:sz w:val="20"/>
          <w:szCs w:val="20"/>
        </w:rPr>
        <w:t xml:space="preserve">numbers, </w:t>
      </w:r>
      <w:r>
        <w:rPr>
          <w:sz w:val="20"/>
          <w:szCs w:val="20"/>
        </w:rPr>
        <w:t>because the collection of Monthly Stats ends on the 10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of each month; whereas </w:t>
      </w:r>
      <w:r w:rsidR="00DC6504">
        <w:rPr>
          <w:sz w:val="20"/>
          <w:szCs w:val="20"/>
        </w:rPr>
        <w:t>quarters are</w:t>
      </w:r>
      <w:r>
        <w:rPr>
          <w:sz w:val="20"/>
          <w:szCs w:val="20"/>
        </w:rPr>
        <w:t xml:space="preserve"> a continuous tally to 12/31.  For example, if a sale </w:t>
      </w:r>
      <w:r>
        <w:rPr>
          <w:sz w:val="20"/>
          <w:szCs w:val="20"/>
        </w:rPr>
        <w:lastRenderedPageBreak/>
        <w:t>occurred on July 29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, but </w:t>
      </w:r>
      <w:r w:rsidR="00DC6504">
        <w:rPr>
          <w:sz w:val="20"/>
          <w:szCs w:val="20"/>
        </w:rPr>
        <w:t xml:space="preserve">an </w:t>
      </w:r>
      <w:r>
        <w:rPr>
          <w:sz w:val="20"/>
          <w:szCs w:val="20"/>
        </w:rPr>
        <w:t>agent does not record the sale until August 11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, that sale would not be included in the July sales figures (or any subsequent month’s total) but would be added to the </w:t>
      </w:r>
      <w:r w:rsidR="00DC6504">
        <w:rPr>
          <w:sz w:val="20"/>
          <w:szCs w:val="20"/>
        </w:rPr>
        <w:t xml:space="preserve">quarterly and </w:t>
      </w:r>
      <w:r>
        <w:rPr>
          <w:sz w:val="20"/>
          <w:szCs w:val="20"/>
        </w:rPr>
        <w:t>annual total sales figure</w:t>
      </w:r>
      <w:r w:rsidR="00DC6504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p w:rsidR="00127EF0" w:rsidRDefault="00127EF0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127EF0" w:rsidRDefault="00127EF0" w:rsidP="001F5CBD">
      <w:pPr>
        <w:spacing w:before="120" w:after="120"/>
        <w:ind w:left="-360" w:right="-360"/>
        <w:contextualSpacing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*     *     *     *     *</w:t>
      </w:r>
    </w:p>
    <w:p w:rsidR="00127EF0" w:rsidRDefault="00127EF0" w:rsidP="001F5CBD">
      <w:pPr>
        <w:ind w:left="-360" w:right="-360"/>
      </w:pPr>
    </w:p>
    <w:p w:rsidR="00127EF0" w:rsidRDefault="00127EF0" w:rsidP="001F5CBD">
      <w:pPr>
        <w:ind w:left="-360" w:right="-360"/>
      </w:pPr>
    </w:p>
    <w:p w:rsidR="00127EF0" w:rsidRDefault="00127EF0" w:rsidP="001F5CBD">
      <w:pPr>
        <w:ind w:left="-360" w:right="-360"/>
        <w:rPr>
          <w:sz w:val="20"/>
          <w:szCs w:val="20"/>
        </w:rPr>
      </w:pPr>
      <w:r>
        <w:rPr>
          <w:sz w:val="20"/>
          <w:szCs w:val="20"/>
        </w:rPr>
        <w:t>Mike Ruzicka, CAE, RCE</w:t>
      </w:r>
    </w:p>
    <w:p w:rsidR="00127EF0" w:rsidRDefault="00127EF0" w:rsidP="001F5CBD">
      <w:pPr>
        <w:ind w:left="-360" w:right="-360"/>
        <w:rPr>
          <w:sz w:val="20"/>
          <w:szCs w:val="20"/>
        </w:rPr>
      </w:pPr>
      <w:r>
        <w:rPr>
          <w:sz w:val="20"/>
          <w:szCs w:val="20"/>
        </w:rPr>
        <w:t>President</w:t>
      </w:r>
    </w:p>
    <w:p w:rsidR="00127EF0" w:rsidRDefault="000B3B4B" w:rsidP="001F5CBD">
      <w:pPr>
        <w:ind w:left="-360" w:right="-360"/>
        <w:rPr>
          <w:color w:val="3366FF"/>
          <w:u w:val="single"/>
        </w:rPr>
      </w:pPr>
      <w:hyperlink r:id="rId11" w:history="1">
        <w:r w:rsidR="00127EF0">
          <w:rPr>
            <w:rStyle w:val="Hyperlink"/>
            <w:color w:val="3366FF"/>
            <w:sz w:val="20"/>
            <w:szCs w:val="20"/>
          </w:rPr>
          <w:t>Greater Milwaukee Association of REALTORS®</w:t>
        </w:r>
      </w:hyperlink>
    </w:p>
    <w:p w:rsidR="00127EF0" w:rsidRDefault="00127EF0" w:rsidP="001F5CBD">
      <w:pPr>
        <w:ind w:left="-360" w:right="-360"/>
      </w:pPr>
      <w:r>
        <w:rPr>
          <w:sz w:val="20"/>
          <w:szCs w:val="20"/>
        </w:rPr>
        <w:t>12300 W. Center Street</w:t>
      </w:r>
    </w:p>
    <w:p w:rsidR="00127EF0" w:rsidRDefault="00127EF0" w:rsidP="001F5CBD">
      <w:pPr>
        <w:ind w:left="-360" w:right="-360"/>
        <w:rPr>
          <w:sz w:val="20"/>
          <w:szCs w:val="20"/>
        </w:rPr>
      </w:pPr>
      <w:r>
        <w:rPr>
          <w:sz w:val="20"/>
          <w:szCs w:val="20"/>
        </w:rPr>
        <w:t>Milwaukee, WI 53222</w:t>
      </w:r>
    </w:p>
    <w:p w:rsidR="00127EF0" w:rsidRDefault="00127EF0" w:rsidP="001F5CBD">
      <w:pPr>
        <w:ind w:left="-360" w:right="-360"/>
        <w:rPr>
          <w:sz w:val="20"/>
          <w:szCs w:val="20"/>
        </w:rPr>
      </w:pPr>
      <w:r>
        <w:rPr>
          <w:sz w:val="20"/>
          <w:szCs w:val="20"/>
        </w:rPr>
        <w:t>414.778.4929</w:t>
      </w:r>
    </w:p>
    <w:p w:rsidR="00127EF0" w:rsidRDefault="000B3B4B" w:rsidP="001F5CBD">
      <w:pPr>
        <w:ind w:left="-360" w:right="-360"/>
        <w:rPr>
          <w:color w:val="3366FF"/>
        </w:rPr>
      </w:pPr>
      <w:hyperlink r:id="rId12" w:history="1">
        <w:r w:rsidR="00127EF0">
          <w:rPr>
            <w:rStyle w:val="Hyperlink"/>
            <w:color w:val="3366FF"/>
            <w:sz w:val="20"/>
            <w:szCs w:val="20"/>
          </w:rPr>
          <w:t>mike@gmar.ws</w:t>
        </w:r>
      </w:hyperlink>
    </w:p>
    <w:p w:rsidR="00127EF0" w:rsidRDefault="00127EF0" w:rsidP="001F5CBD">
      <w:pPr>
        <w:ind w:left="-360" w:right="-360"/>
        <w:rPr>
          <w:sz w:val="20"/>
          <w:szCs w:val="20"/>
        </w:rPr>
      </w:pPr>
    </w:p>
    <w:p w:rsidR="00127EF0" w:rsidRDefault="00127EF0" w:rsidP="001F5CBD">
      <w:pPr>
        <w:ind w:left="-360" w:right="-360"/>
        <w:rPr>
          <w:sz w:val="12"/>
          <w:szCs w:val="12"/>
        </w:rPr>
      </w:pPr>
      <w:r>
        <w:rPr>
          <w:sz w:val="12"/>
          <w:szCs w:val="12"/>
        </w:rPr>
        <w:t>This e-mail message is intended solely for the person to whom it is addressed and may contain confidential and/or privileged information.  If you have received this e-mail message in error, but are affiliated with the person two whom it is addressed, please notify the addressee that the e-mail has been received (otherwise delete it).  Any review, dissemination, copying, printing or other use of this e-mail message by persons other than the address is prohibited.</w:t>
      </w:r>
    </w:p>
    <w:bookmarkEnd w:id="0"/>
    <w:p w:rsidR="00323325" w:rsidRDefault="00323325" w:rsidP="00127EF0">
      <w:pPr>
        <w:rPr>
          <w:sz w:val="12"/>
          <w:szCs w:val="12"/>
        </w:rPr>
      </w:pPr>
    </w:p>
    <w:sectPr w:rsidR="00323325" w:rsidSect="00853C6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10FD"/>
    <w:multiLevelType w:val="hybridMultilevel"/>
    <w:tmpl w:val="EB5EFE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9F0E41"/>
    <w:multiLevelType w:val="hybridMultilevel"/>
    <w:tmpl w:val="EBC2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83"/>
    <w:rsid w:val="0000535B"/>
    <w:rsid w:val="0002233A"/>
    <w:rsid w:val="000231FD"/>
    <w:rsid w:val="00027002"/>
    <w:rsid w:val="00027936"/>
    <w:rsid w:val="000418A7"/>
    <w:rsid w:val="00050EC7"/>
    <w:rsid w:val="000643AB"/>
    <w:rsid w:val="000758D2"/>
    <w:rsid w:val="0008180B"/>
    <w:rsid w:val="00081B02"/>
    <w:rsid w:val="00085C75"/>
    <w:rsid w:val="000871EE"/>
    <w:rsid w:val="00087232"/>
    <w:rsid w:val="000970E3"/>
    <w:rsid w:val="000A3217"/>
    <w:rsid w:val="000B3B4B"/>
    <w:rsid w:val="000C5D86"/>
    <w:rsid w:val="000D06A6"/>
    <w:rsid w:val="000F21F9"/>
    <w:rsid w:val="001074E7"/>
    <w:rsid w:val="001111CB"/>
    <w:rsid w:val="00127EF0"/>
    <w:rsid w:val="001312C0"/>
    <w:rsid w:val="00134C6A"/>
    <w:rsid w:val="00156337"/>
    <w:rsid w:val="001710C0"/>
    <w:rsid w:val="00181579"/>
    <w:rsid w:val="00183378"/>
    <w:rsid w:val="001865ED"/>
    <w:rsid w:val="001A060A"/>
    <w:rsid w:val="001B4CFE"/>
    <w:rsid w:val="001B610A"/>
    <w:rsid w:val="001C2406"/>
    <w:rsid w:val="001C62A3"/>
    <w:rsid w:val="001D7B23"/>
    <w:rsid w:val="001F0911"/>
    <w:rsid w:val="001F245E"/>
    <w:rsid w:val="001F5CBD"/>
    <w:rsid w:val="00211BC4"/>
    <w:rsid w:val="002228CD"/>
    <w:rsid w:val="0023346D"/>
    <w:rsid w:val="002369FD"/>
    <w:rsid w:val="00270176"/>
    <w:rsid w:val="002A78ED"/>
    <w:rsid w:val="002B4F66"/>
    <w:rsid w:val="002F47F1"/>
    <w:rsid w:val="003014F6"/>
    <w:rsid w:val="003105DB"/>
    <w:rsid w:val="00310D67"/>
    <w:rsid w:val="0031621B"/>
    <w:rsid w:val="003176C9"/>
    <w:rsid w:val="00323325"/>
    <w:rsid w:val="0033059A"/>
    <w:rsid w:val="00354473"/>
    <w:rsid w:val="003639E9"/>
    <w:rsid w:val="003724B8"/>
    <w:rsid w:val="003932C3"/>
    <w:rsid w:val="003B1886"/>
    <w:rsid w:val="003B3756"/>
    <w:rsid w:val="003C6AC5"/>
    <w:rsid w:val="0040188A"/>
    <w:rsid w:val="004217B7"/>
    <w:rsid w:val="00426684"/>
    <w:rsid w:val="00437958"/>
    <w:rsid w:val="00437E34"/>
    <w:rsid w:val="004433DB"/>
    <w:rsid w:val="00460083"/>
    <w:rsid w:val="00470AB1"/>
    <w:rsid w:val="00470EA4"/>
    <w:rsid w:val="0047433E"/>
    <w:rsid w:val="00476AA0"/>
    <w:rsid w:val="0048406D"/>
    <w:rsid w:val="004A5FC1"/>
    <w:rsid w:val="004E6E55"/>
    <w:rsid w:val="0050036D"/>
    <w:rsid w:val="00503E46"/>
    <w:rsid w:val="00510938"/>
    <w:rsid w:val="005160A6"/>
    <w:rsid w:val="005170D2"/>
    <w:rsid w:val="0052049F"/>
    <w:rsid w:val="00521D03"/>
    <w:rsid w:val="0053080F"/>
    <w:rsid w:val="00534DD3"/>
    <w:rsid w:val="0054105F"/>
    <w:rsid w:val="00545469"/>
    <w:rsid w:val="005460CE"/>
    <w:rsid w:val="005479CC"/>
    <w:rsid w:val="005552A3"/>
    <w:rsid w:val="00556E33"/>
    <w:rsid w:val="005640BF"/>
    <w:rsid w:val="005650BC"/>
    <w:rsid w:val="0057459F"/>
    <w:rsid w:val="00577F84"/>
    <w:rsid w:val="00580AAD"/>
    <w:rsid w:val="00585519"/>
    <w:rsid w:val="00586266"/>
    <w:rsid w:val="0059620F"/>
    <w:rsid w:val="005C4AF7"/>
    <w:rsid w:val="005E4C81"/>
    <w:rsid w:val="00602021"/>
    <w:rsid w:val="00603A94"/>
    <w:rsid w:val="00617038"/>
    <w:rsid w:val="006213F9"/>
    <w:rsid w:val="00623E52"/>
    <w:rsid w:val="00626122"/>
    <w:rsid w:val="00627F72"/>
    <w:rsid w:val="00645AD0"/>
    <w:rsid w:val="00647C20"/>
    <w:rsid w:val="00654B2A"/>
    <w:rsid w:val="00657D2E"/>
    <w:rsid w:val="0067514D"/>
    <w:rsid w:val="00690E70"/>
    <w:rsid w:val="00693D01"/>
    <w:rsid w:val="006C0A4A"/>
    <w:rsid w:val="006C5BE5"/>
    <w:rsid w:val="006D13A0"/>
    <w:rsid w:val="006D176A"/>
    <w:rsid w:val="006D195E"/>
    <w:rsid w:val="006D22A4"/>
    <w:rsid w:val="006E0511"/>
    <w:rsid w:val="006E60DF"/>
    <w:rsid w:val="007034D3"/>
    <w:rsid w:val="00721F71"/>
    <w:rsid w:val="0073360C"/>
    <w:rsid w:val="00736B38"/>
    <w:rsid w:val="00742C85"/>
    <w:rsid w:val="00754539"/>
    <w:rsid w:val="00754FD0"/>
    <w:rsid w:val="00767AFC"/>
    <w:rsid w:val="0077361B"/>
    <w:rsid w:val="0078467D"/>
    <w:rsid w:val="007848D3"/>
    <w:rsid w:val="0079199D"/>
    <w:rsid w:val="0079305F"/>
    <w:rsid w:val="007B6D3B"/>
    <w:rsid w:val="007C3727"/>
    <w:rsid w:val="007C40CE"/>
    <w:rsid w:val="007D102C"/>
    <w:rsid w:val="007E0B53"/>
    <w:rsid w:val="00800766"/>
    <w:rsid w:val="00805843"/>
    <w:rsid w:val="00805CC5"/>
    <w:rsid w:val="00813045"/>
    <w:rsid w:val="008130DA"/>
    <w:rsid w:val="00815481"/>
    <w:rsid w:val="00816599"/>
    <w:rsid w:val="00817377"/>
    <w:rsid w:val="00830251"/>
    <w:rsid w:val="00853C6E"/>
    <w:rsid w:val="00857CA5"/>
    <w:rsid w:val="0087484B"/>
    <w:rsid w:val="0089320B"/>
    <w:rsid w:val="008A6E66"/>
    <w:rsid w:val="008D51A0"/>
    <w:rsid w:val="008F15EA"/>
    <w:rsid w:val="00913F14"/>
    <w:rsid w:val="0092306F"/>
    <w:rsid w:val="00945145"/>
    <w:rsid w:val="00945C7F"/>
    <w:rsid w:val="00950D76"/>
    <w:rsid w:val="00960659"/>
    <w:rsid w:val="0096117E"/>
    <w:rsid w:val="00965378"/>
    <w:rsid w:val="00973EEB"/>
    <w:rsid w:val="00977AE7"/>
    <w:rsid w:val="00986E1D"/>
    <w:rsid w:val="009934D6"/>
    <w:rsid w:val="0099394E"/>
    <w:rsid w:val="009A3885"/>
    <w:rsid w:val="009A3D9D"/>
    <w:rsid w:val="009B5E5A"/>
    <w:rsid w:val="009B6FCA"/>
    <w:rsid w:val="009C6EA8"/>
    <w:rsid w:val="009D2241"/>
    <w:rsid w:val="009D4F89"/>
    <w:rsid w:val="009E4BB1"/>
    <w:rsid w:val="00A017CA"/>
    <w:rsid w:val="00A2539A"/>
    <w:rsid w:val="00A37F31"/>
    <w:rsid w:val="00A60995"/>
    <w:rsid w:val="00A648D1"/>
    <w:rsid w:val="00A66F2A"/>
    <w:rsid w:val="00A67A0F"/>
    <w:rsid w:val="00A96CA0"/>
    <w:rsid w:val="00AA16AC"/>
    <w:rsid w:val="00AB1D2A"/>
    <w:rsid w:val="00AB30DB"/>
    <w:rsid w:val="00AC3065"/>
    <w:rsid w:val="00AD60F7"/>
    <w:rsid w:val="00AD642D"/>
    <w:rsid w:val="00AE1A13"/>
    <w:rsid w:val="00AE3BB8"/>
    <w:rsid w:val="00AE6343"/>
    <w:rsid w:val="00B01F83"/>
    <w:rsid w:val="00B062F3"/>
    <w:rsid w:val="00B330BD"/>
    <w:rsid w:val="00B704CC"/>
    <w:rsid w:val="00BA70FF"/>
    <w:rsid w:val="00BA71CB"/>
    <w:rsid w:val="00BC1205"/>
    <w:rsid w:val="00BD6964"/>
    <w:rsid w:val="00BE0E5A"/>
    <w:rsid w:val="00BF155E"/>
    <w:rsid w:val="00C066D8"/>
    <w:rsid w:val="00C10518"/>
    <w:rsid w:val="00C22763"/>
    <w:rsid w:val="00C41C9C"/>
    <w:rsid w:val="00C5567F"/>
    <w:rsid w:val="00C63D82"/>
    <w:rsid w:val="00C746BD"/>
    <w:rsid w:val="00C76AED"/>
    <w:rsid w:val="00C858FE"/>
    <w:rsid w:val="00C919A0"/>
    <w:rsid w:val="00CB37CB"/>
    <w:rsid w:val="00CC316C"/>
    <w:rsid w:val="00CD08DE"/>
    <w:rsid w:val="00CD4658"/>
    <w:rsid w:val="00D013A6"/>
    <w:rsid w:val="00D0513E"/>
    <w:rsid w:val="00D061C3"/>
    <w:rsid w:val="00D10468"/>
    <w:rsid w:val="00D1723D"/>
    <w:rsid w:val="00D27B49"/>
    <w:rsid w:val="00D4269B"/>
    <w:rsid w:val="00D432FD"/>
    <w:rsid w:val="00D7029B"/>
    <w:rsid w:val="00D83A25"/>
    <w:rsid w:val="00D9260E"/>
    <w:rsid w:val="00D9455C"/>
    <w:rsid w:val="00DA2234"/>
    <w:rsid w:val="00DB7C1E"/>
    <w:rsid w:val="00DC6504"/>
    <w:rsid w:val="00DD184E"/>
    <w:rsid w:val="00DF2199"/>
    <w:rsid w:val="00DF383A"/>
    <w:rsid w:val="00DF5C48"/>
    <w:rsid w:val="00E02A9E"/>
    <w:rsid w:val="00E22DD1"/>
    <w:rsid w:val="00E302C4"/>
    <w:rsid w:val="00E3381F"/>
    <w:rsid w:val="00E35D19"/>
    <w:rsid w:val="00E4062C"/>
    <w:rsid w:val="00E40C3D"/>
    <w:rsid w:val="00E456F1"/>
    <w:rsid w:val="00E46188"/>
    <w:rsid w:val="00E54BEE"/>
    <w:rsid w:val="00E64AEC"/>
    <w:rsid w:val="00E72019"/>
    <w:rsid w:val="00E8432A"/>
    <w:rsid w:val="00EA2981"/>
    <w:rsid w:val="00EB2CA3"/>
    <w:rsid w:val="00EC5F0E"/>
    <w:rsid w:val="00EC789A"/>
    <w:rsid w:val="00ED27FC"/>
    <w:rsid w:val="00EE2FFE"/>
    <w:rsid w:val="00EF24BC"/>
    <w:rsid w:val="00F07937"/>
    <w:rsid w:val="00F27208"/>
    <w:rsid w:val="00F35E94"/>
    <w:rsid w:val="00F4138C"/>
    <w:rsid w:val="00F41449"/>
    <w:rsid w:val="00F4702E"/>
    <w:rsid w:val="00F47C51"/>
    <w:rsid w:val="00F56E8C"/>
    <w:rsid w:val="00F63BE0"/>
    <w:rsid w:val="00F7248D"/>
    <w:rsid w:val="00F73353"/>
    <w:rsid w:val="00F90B4C"/>
    <w:rsid w:val="00F9202D"/>
    <w:rsid w:val="00F93942"/>
    <w:rsid w:val="00F95E80"/>
    <w:rsid w:val="00FC30D6"/>
    <w:rsid w:val="00FE3DE4"/>
    <w:rsid w:val="00FE64F6"/>
    <w:rsid w:val="00FE7181"/>
    <w:rsid w:val="00FE7EB4"/>
    <w:rsid w:val="00FF55E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57CB4-C836-47AC-B66D-6CC1599C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F83"/>
    <w:pPr>
      <w:spacing w:after="0" w:line="240" w:lineRule="auto"/>
    </w:pPr>
  </w:style>
  <w:style w:type="paragraph" w:styleId="Heading3">
    <w:name w:val="heading 3"/>
    <w:basedOn w:val="Normal"/>
    <w:link w:val="Heading3Char"/>
    <w:uiPriority w:val="9"/>
    <w:qFormat/>
    <w:rsid w:val="003105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1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2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105D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10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ke@gmar.ws" TargetMode="External"/><Relationship Id="rId12" Type="http://schemas.openxmlformats.org/officeDocument/2006/relationships/hyperlink" Target="mailto:mike@gmar.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e@gmar.ws" TargetMode="External"/><Relationship Id="rId11" Type="http://schemas.openxmlformats.org/officeDocument/2006/relationships/hyperlink" Target="http://www.gmar.com/" TargetMode="External"/><Relationship Id="rId5" Type="http://schemas.openxmlformats.org/officeDocument/2006/relationships/image" Target="media/image1.gif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.GMAR\Dropbox\GMAR\001%20-%20MLS%20Statistical%20Histor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.GMAR\Dropbox\GMAR\001%20-%20MLS%20Statistical%20Histor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.GMAR\Dropbox\GMAR\001%20-%20MLS%20Statistical%20Histor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Sales Through2</a:t>
            </a:r>
            <a:r>
              <a:rPr lang="en-US" baseline="30000"/>
              <a:t>nd</a:t>
            </a:r>
            <a:r>
              <a:rPr lang="en-US"/>
              <a:t> Qtr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4580927384077"/>
          <c:y val="0.1632123212321232"/>
          <c:w val="0.86486351706036746"/>
          <c:h val="0.66377381045191131"/>
        </c:manualLayout>
      </c:layout>
      <c:lineChart>
        <c:grouping val="standard"/>
        <c:varyColors val="0"/>
        <c:ser>
          <c:idx val="0"/>
          <c:order val="0"/>
          <c:spPr>
            <a:ln w="6350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chemeClr val="bg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Sheet1!$B$2:$U$2</c:f>
              <c:strCache>
                <c:ptCount val="20"/>
                <c:pt idx="0">
                  <c:v> 2000</c:v>
                </c:pt>
                <c:pt idx="1">
                  <c:v> 2001</c:v>
                </c:pt>
                <c:pt idx="2">
                  <c:v> 2002</c:v>
                </c:pt>
                <c:pt idx="3">
                  <c:v> 2003</c:v>
                </c:pt>
                <c:pt idx="4">
                  <c:v> 2004</c:v>
                </c:pt>
                <c:pt idx="5">
                  <c:v> 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</c:strCache>
            </c:strRef>
          </c:cat>
          <c:val>
            <c:numRef>
              <c:f>Sheet1!$B$9:$U$9</c:f>
              <c:numCache>
                <c:formatCode>General</c:formatCode>
                <c:ptCount val="20"/>
                <c:pt idx="0">
                  <c:v>7980</c:v>
                </c:pt>
                <c:pt idx="1">
                  <c:v>8486</c:v>
                </c:pt>
                <c:pt idx="2" formatCode="0.0">
                  <c:v>8912</c:v>
                </c:pt>
                <c:pt idx="3">
                  <c:v>8607</c:v>
                </c:pt>
                <c:pt idx="4" formatCode="0">
                  <c:v>9152</c:v>
                </c:pt>
                <c:pt idx="5">
                  <c:v>9844</c:v>
                </c:pt>
                <c:pt idx="6">
                  <c:v>9810</c:v>
                </c:pt>
                <c:pt idx="7">
                  <c:v>8724</c:v>
                </c:pt>
                <c:pt idx="8">
                  <c:v>6683</c:v>
                </c:pt>
                <c:pt idx="9">
                  <c:v>6232</c:v>
                </c:pt>
                <c:pt idx="10">
                  <c:v>7157</c:v>
                </c:pt>
                <c:pt idx="11">
                  <c:v>6047</c:v>
                </c:pt>
                <c:pt idx="12">
                  <c:v>7789</c:v>
                </c:pt>
                <c:pt idx="13">
                  <c:v>8593</c:v>
                </c:pt>
                <c:pt idx="14">
                  <c:v>7962</c:v>
                </c:pt>
                <c:pt idx="15">
                  <c:v>9067</c:v>
                </c:pt>
                <c:pt idx="16">
                  <c:v>9786</c:v>
                </c:pt>
                <c:pt idx="17">
                  <c:v>10001</c:v>
                </c:pt>
                <c:pt idx="18">
                  <c:v>10084</c:v>
                </c:pt>
                <c:pt idx="19">
                  <c:v>9574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9612128"/>
        <c:axId val="469610168"/>
      </c:lineChart>
      <c:catAx>
        <c:axId val="469612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9610168"/>
        <c:crosses val="autoZero"/>
        <c:auto val="1"/>
        <c:lblAlgn val="ctr"/>
        <c:lblOffset val="100"/>
        <c:noMultiLvlLbl val="0"/>
      </c:catAx>
      <c:valAx>
        <c:axId val="469610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9612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r>
              <a:rPr lang="en-US"/>
              <a:t>Inventory </a:t>
            </a:r>
            <a:r>
              <a:rPr lang="en-US" sz="900"/>
              <a:t>(units left</a:t>
            </a:r>
            <a:r>
              <a:rPr lang="en-US" sz="900" baseline="0"/>
              <a:t> side)</a:t>
            </a:r>
            <a:endParaRPr lang="en-US" sz="900"/>
          </a:p>
        </c:rich>
      </c:tx>
      <c:layout>
        <c:manualLayout>
          <c:xMode val="edge"/>
          <c:yMode val="edge"/>
          <c:x val="0.3380089467360593"/>
          <c:y val="3.49726516853083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977998681911913E-2"/>
          <c:y val="0.14728474319091048"/>
          <c:w val="0.83530976540300172"/>
          <c:h val="0.61226301362071822"/>
        </c:manualLayout>
      </c:layout>
      <c:areaChart>
        <c:grouping val="stacked"/>
        <c:varyColors val="0"/>
        <c:ser>
          <c:idx val="0"/>
          <c:order val="0"/>
          <c:tx>
            <c:strRef>
              <c:f>'Monthly Stats Data'!$A$139</c:f>
              <c:strCache>
                <c:ptCount val="1"/>
                <c:pt idx="0">
                  <c:v>Current Active (Net)</c:v>
                </c:pt>
              </c:strCache>
            </c:strRef>
          </c:tx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</c:spPr>
          <c:cat>
            <c:strRef>
              <c:f>'Monthly Stats Data'!$C$137:$O$137</c:f>
              <c:strCache>
                <c:ptCount val="13"/>
                <c:pt idx="0">
                  <c:v>June</c:v>
                </c:pt>
                <c:pt idx="1">
                  <c:v>July</c:v>
                </c:pt>
                <c:pt idx="2">
                  <c:v>August</c:v>
                </c:pt>
                <c:pt idx="3">
                  <c:v>Sept</c:v>
                </c:pt>
                <c:pt idx="4">
                  <c:v>Oct</c:v>
                </c:pt>
                <c:pt idx="5">
                  <c:v>Nov</c:v>
                </c:pt>
                <c:pt idx="6">
                  <c:v>Dec</c:v>
                </c:pt>
                <c:pt idx="7">
                  <c:v>Jan </c:v>
                </c:pt>
                <c:pt idx="8">
                  <c:v>Feb</c:v>
                </c:pt>
                <c:pt idx="9">
                  <c:v>March</c:v>
                </c:pt>
                <c:pt idx="10">
                  <c:v>April</c:v>
                </c:pt>
                <c:pt idx="11">
                  <c:v>May</c:v>
                </c:pt>
                <c:pt idx="12">
                  <c:v>June</c:v>
                </c:pt>
              </c:strCache>
            </c:strRef>
          </c:cat>
          <c:val>
            <c:numRef>
              <c:f>'Monthly Stats Data'!$C$139:$O$139</c:f>
              <c:numCache>
                <c:formatCode>_(* #,##0_);_(* \(#,##0\);_(* "-"??_);_(@_)</c:formatCode>
                <c:ptCount val="13"/>
                <c:pt idx="0">
                  <c:v>4486</c:v>
                </c:pt>
                <c:pt idx="1">
                  <c:v>4526</c:v>
                </c:pt>
                <c:pt idx="2">
                  <c:v>5005</c:v>
                </c:pt>
                <c:pt idx="3">
                  <c:v>5057</c:v>
                </c:pt>
                <c:pt idx="4">
                  <c:v>5007</c:v>
                </c:pt>
                <c:pt idx="5">
                  <c:v>4583</c:v>
                </c:pt>
                <c:pt idx="6">
                  <c:v>3897</c:v>
                </c:pt>
                <c:pt idx="7">
                  <c:v>3389</c:v>
                </c:pt>
                <c:pt idx="8">
                  <c:v>3132</c:v>
                </c:pt>
                <c:pt idx="9">
                  <c:v>3233</c:v>
                </c:pt>
                <c:pt idx="10">
                  <c:v>3338</c:v>
                </c:pt>
                <c:pt idx="11">
                  <c:v>3571</c:v>
                </c:pt>
                <c:pt idx="12">
                  <c:v>4183</c:v>
                </c:pt>
              </c:numCache>
            </c:numRef>
          </c:val>
        </c:ser>
        <c:ser>
          <c:idx val="1"/>
          <c:order val="1"/>
          <c:tx>
            <c:strRef>
              <c:f>'Monthly Stats Data'!$A$140</c:f>
              <c:strCache>
                <c:ptCount val="1"/>
                <c:pt idx="0">
                  <c:v>Active With Offer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'Monthly Stats Data'!$C$137:$O$137</c:f>
              <c:strCache>
                <c:ptCount val="13"/>
                <c:pt idx="0">
                  <c:v>June</c:v>
                </c:pt>
                <c:pt idx="1">
                  <c:v>July</c:v>
                </c:pt>
                <c:pt idx="2">
                  <c:v>August</c:v>
                </c:pt>
                <c:pt idx="3">
                  <c:v>Sept</c:v>
                </c:pt>
                <c:pt idx="4">
                  <c:v>Oct</c:v>
                </c:pt>
                <c:pt idx="5">
                  <c:v>Nov</c:v>
                </c:pt>
                <c:pt idx="6">
                  <c:v>Dec</c:v>
                </c:pt>
                <c:pt idx="7">
                  <c:v>Jan </c:v>
                </c:pt>
                <c:pt idx="8">
                  <c:v>Feb</c:v>
                </c:pt>
                <c:pt idx="9">
                  <c:v>March</c:v>
                </c:pt>
                <c:pt idx="10">
                  <c:v>April</c:v>
                </c:pt>
                <c:pt idx="11">
                  <c:v>May</c:v>
                </c:pt>
                <c:pt idx="12">
                  <c:v>June</c:v>
                </c:pt>
              </c:strCache>
            </c:strRef>
          </c:cat>
          <c:val>
            <c:numRef>
              <c:f>'Monthly Stats Data'!$C$140:$O$140</c:f>
              <c:numCache>
                <c:formatCode>_(* #,##0_);_(* \(#,##0\);_(* "-"??_);_(@_)</c:formatCode>
                <c:ptCount val="13"/>
                <c:pt idx="0" formatCode="General">
                  <c:v>2491</c:v>
                </c:pt>
                <c:pt idx="1">
                  <c:v>2369</c:v>
                </c:pt>
                <c:pt idx="2">
                  <c:v>2095</c:v>
                </c:pt>
                <c:pt idx="3">
                  <c:v>1840</c:v>
                </c:pt>
                <c:pt idx="4">
                  <c:v>1670</c:v>
                </c:pt>
                <c:pt idx="5">
                  <c:v>1330</c:v>
                </c:pt>
                <c:pt idx="6">
                  <c:v>1101</c:v>
                </c:pt>
                <c:pt idx="7">
                  <c:v>1631</c:v>
                </c:pt>
                <c:pt idx="8">
                  <c:v>1768</c:v>
                </c:pt>
                <c:pt idx="9">
                  <c:v>2321</c:v>
                </c:pt>
                <c:pt idx="10">
                  <c:v>2644</c:v>
                </c:pt>
                <c:pt idx="11">
                  <c:v>2867</c:v>
                </c:pt>
                <c:pt idx="12">
                  <c:v>2587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9612520"/>
        <c:axId val="469609776"/>
      </c:areaChart>
      <c:lineChart>
        <c:grouping val="standard"/>
        <c:varyColors val="0"/>
        <c:ser>
          <c:idx val="2"/>
          <c:order val="2"/>
          <c:tx>
            <c:strRef>
              <c:f>'Monthly Stats Data'!$A$141</c:f>
              <c:strCache>
                <c:ptCount val="1"/>
                <c:pt idx="0">
                  <c:v>Mos of Inventory (right)</c:v>
                </c:pt>
              </c:strCache>
            </c:strRef>
          </c:tx>
          <c:spPr>
            <a:ln w="28575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Data'!$C$137:$O$137</c:f>
              <c:strCache>
                <c:ptCount val="13"/>
                <c:pt idx="0">
                  <c:v>June</c:v>
                </c:pt>
                <c:pt idx="1">
                  <c:v>July</c:v>
                </c:pt>
                <c:pt idx="2">
                  <c:v>August</c:v>
                </c:pt>
                <c:pt idx="3">
                  <c:v>Sept</c:v>
                </c:pt>
                <c:pt idx="4">
                  <c:v>Oct</c:v>
                </c:pt>
                <c:pt idx="5">
                  <c:v>Nov</c:v>
                </c:pt>
                <c:pt idx="6">
                  <c:v>Dec</c:v>
                </c:pt>
                <c:pt idx="7">
                  <c:v>Jan </c:v>
                </c:pt>
                <c:pt idx="8">
                  <c:v>Feb</c:v>
                </c:pt>
                <c:pt idx="9">
                  <c:v>March</c:v>
                </c:pt>
                <c:pt idx="10">
                  <c:v>April</c:v>
                </c:pt>
                <c:pt idx="11">
                  <c:v>May</c:v>
                </c:pt>
                <c:pt idx="12">
                  <c:v>June</c:v>
                </c:pt>
              </c:strCache>
            </c:strRef>
          </c:cat>
          <c:val>
            <c:numRef>
              <c:f>'Monthly Stats Data'!$C$141:$O$141</c:f>
              <c:numCache>
                <c:formatCode>0.0</c:formatCode>
                <c:ptCount val="13"/>
                <c:pt idx="0">
                  <c:v>1.9</c:v>
                </c:pt>
                <c:pt idx="1">
                  <c:v>2.2000000000000002</c:v>
                </c:pt>
                <c:pt idx="2">
                  <c:v>2.2999999999999998</c:v>
                </c:pt>
                <c:pt idx="3">
                  <c:v>2.4</c:v>
                </c:pt>
                <c:pt idx="4">
                  <c:v>2.2000000000000002</c:v>
                </c:pt>
                <c:pt idx="5">
                  <c:v>2</c:v>
                </c:pt>
                <c:pt idx="6">
                  <c:v>1.7</c:v>
                </c:pt>
                <c:pt idx="7">
                  <c:v>1.6</c:v>
                </c:pt>
                <c:pt idx="8">
                  <c:v>1.6</c:v>
                </c:pt>
                <c:pt idx="9">
                  <c:v>1.6</c:v>
                </c:pt>
                <c:pt idx="10">
                  <c:v>1.6</c:v>
                </c:pt>
                <c:pt idx="11">
                  <c:v>1.8</c:v>
                </c:pt>
                <c:pt idx="12">
                  <c:v>1.9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9605464"/>
        <c:axId val="469606640"/>
      </c:lineChart>
      <c:catAx>
        <c:axId val="469612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en-US"/>
          </a:p>
        </c:txPr>
        <c:crossAx val="469609776"/>
        <c:crosses val="autoZero"/>
        <c:auto val="1"/>
        <c:lblAlgn val="ctr"/>
        <c:lblOffset val="100"/>
        <c:noMultiLvlLbl val="0"/>
      </c:catAx>
      <c:valAx>
        <c:axId val="46960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en-US"/>
          </a:p>
        </c:txPr>
        <c:crossAx val="469612520"/>
        <c:crosses val="autoZero"/>
        <c:crossBetween val="between"/>
      </c:valAx>
      <c:valAx>
        <c:axId val="469606640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en-US"/>
          </a:p>
        </c:txPr>
        <c:crossAx val="469605464"/>
        <c:crosses val="max"/>
        <c:crossBetween val="between"/>
      </c:valAx>
      <c:catAx>
        <c:axId val="4696054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69606640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Calibri" panose="020F0502020204030204" pitchFamily="34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4</a:t>
            </a:r>
            <a:r>
              <a:rPr lang="en-US" baseline="0">
                <a:solidFill>
                  <a:sysClr val="windowText" lastClr="000000"/>
                </a:solidFill>
              </a:rPr>
              <a:t> County Avg Sale Price (2</a:t>
            </a:r>
            <a:r>
              <a:rPr lang="en-US" baseline="30000">
                <a:solidFill>
                  <a:sysClr val="windowText" lastClr="000000"/>
                </a:solidFill>
              </a:rPr>
              <a:t>nd</a:t>
            </a:r>
            <a:r>
              <a:rPr lang="en-US" baseline="0">
                <a:solidFill>
                  <a:sysClr val="windowText" lastClr="000000"/>
                </a:solidFill>
              </a:rPr>
              <a:t> Qtr)</a:t>
            </a:r>
            <a:endParaRPr lang="en-US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6598692810457514"/>
          <c:y val="2.72108843537414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'2nd QTR County Data'!$D$142</c:f>
              <c:strCache>
                <c:ptCount val="1"/>
                <c:pt idx="0">
                  <c:v>Avg Sale Price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'2nd QTR County Data'!$B$159:$B$178</c:f>
              <c:numCache>
                <c:formatCode>General</c:formatCod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</c:numCache>
            </c:numRef>
          </c:cat>
          <c:val>
            <c:numRef>
              <c:f>'2nd QTR County Data'!$D$159:$D$178</c:f>
              <c:numCache>
                <c:formatCode>_("$"* #,##0_);_("$"* \(#,##0\);_("$"* "-"??_);_(@_)</c:formatCode>
                <c:ptCount val="20"/>
                <c:pt idx="0">
                  <c:v>175359.75</c:v>
                </c:pt>
                <c:pt idx="1">
                  <c:v>182629.5</c:v>
                </c:pt>
                <c:pt idx="2">
                  <c:v>201643.25</c:v>
                </c:pt>
                <c:pt idx="3">
                  <c:v>212221.25</c:v>
                </c:pt>
                <c:pt idx="4">
                  <c:v>229949.25</c:v>
                </c:pt>
                <c:pt idx="5">
                  <c:v>241680.75</c:v>
                </c:pt>
                <c:pt idx="6">
                  <c:v>259473</c:v>
                </c:pt>
                <c:pt idx="7">
                  <c:v>254076</c:v>
                </c:pt>
                <c:pt idx="8">
                  <c:v>248740</c:v>
                </c:pt>
                <c:pt idx="9">
                  <c:v>219373.25</c:v>
                </c:pt>
                <c:pt idx="10">
                  <c:v>222982.5</c:v>
                </c:pt>
                <c:pt idx="11">
                  <c:v>211731.75</c:v>
                </c:pt>
                <c:pt idx="12">
                  <c:v>205119.5</c:v>
                </c:pt>
                <c:pt idx="13">
                  <c:v>220649.75</c:v>
                </c:pt>
                <c:pt idx="14">
                  <c:v>219684.25</c:v>
                </c:pt>
                <c:pt idx="15">
                  <c:v>240873</c:v>
                </c:pt>
                <c:pt idx="16">
                  <c:v>247957.5</c:v>
                </c:pt>
                <c:pt idx="17">
                  <c:v>259734.5</c:v>
                </c:pt>
                <c:pt idx="18">
                  <c:v>282116.75</c:v>
                </c:pt>
                <c:pt idx="19">
                  <c:v>294098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4"/>
        <c:overlap val="-61"/>
        <c:axId val="469607032"/>
        <c:axId val="469605072"/>
      </c:barChart>
      <c:catAx>
        <c:axId val="469607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9605072"/>
        <c:crosses val="autoZero"/>
        <c:auto val="1"/>
        <c:lblAlgn val="ctr"/>
        <c:lblOffset val="100"/>
        <c:noMultiLvlLbl val="0"/>
      </c:catAx>
      <c:valAx>
        <c:axId val="469605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_);_(&quot;$&quot;* \(#,##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9607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lumMod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3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173863-2EC1-42AE-84BB-8616F4FBD67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4</cp:revision>
  <cp:lastPrinted>2019-07-12T17:48:00Z</cp:lastPrinted>
  <dcterms:created xsi:type="dcterms:W3CDTF">2019-07-11T20:13:00Z</dcterms:created>
  <dcterms:modified xsi:type="dcterms:W3CDTF">2019-07-12T18:08:00Z</dcterms:modified>
</cp:coreProperties>
</file>