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EF0" w:rsidRDefault="001F5CBD" w:rsidP="001F5CBD">
      <w:pPr>
        <w:jc w:val="center"/>
        <w:rPr>
          <w:sz w:val="24"/>
          <w:szCs w:val="24"/>
        </w:rPr>
      </w:pPr>
      <w:bookmarkStart w:id="0" w:name="_MailOriginal"/>
      <w:r>
        <w:rPr>
          <w:noProof/>
          <w:sz w:val="24"/>
          <w:szCs w:val="24"/>
        </w:rPr>
        <w:drawing>
          <wp:anchor distT="0" distB="0" distL="114300" distR="114300" simplePos="0" relativeHeight="251667456" behindDoc="0" locked="0" layoutInCell="1" allowOverlap="1">
            <wp:simplePos x="0" y="0"/>
            <wp:positionH relativeFrom="column">
              <wp:posOffset>4257040</wp:posOffset>
            </wp:positionH>
            <wp:positionV relativeFrom="paragraph">
              <wp:posOffset>0</wp:posOffset>
            </wp:positionV>
            <wp:extent cx="2164715" cy="1000125"/>
            <wp:effectExtent l="0" t="0" r="698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MAR Logo.gif"/>
                    <pic:cNvPicPr/>
                  </pic:nvPicPr>
                  <pic:blipFill>
                    <a:blip r:embed="rId5">
                      <a:extLst>
                        <a:ext uri="{28A0092B-C50C-407E-A947-70E740481C1C}">
                          <a14:useLocalDpi xmlns:a14="http://schemas.microsoft.com/office/drawing/2010/main" val="0"/>
                        </a:ext>
                      </a:extLst>
                    </a:blip>
                    <a:stretch>
                      <a:fillRect/>
                    </a:stretch>
                  </pic:blipFill>
                  <pic:spPr>
                    <a:xfrm>
                      <a:off x="0" y="0"/>
                      <a:ext cx="2164715" cy="1000125"/>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2543175</wp:posOffset>
                </wp:positionH>
                <wp:positionV relativeFrom="paragraph">
                  <wp:posOffset>-419100</wp:posOffset>
                </wp:positionV>
                <wp:extent cx="1552575" cy="1647825"/>
                <wp:effectExtent l="19050" t="0" r="47625" b="28575"/>
                <wp:wrapNone/>
                <wp:docPr id="10" name="Chevron 10"/>
                <wp:cNvGraphicFramePr/>
                <a:graphic xmlns:a="http://schemas.openxmlformats.org/drawingml/2006/main">
                  <a:graphicData uri="http://schemas.microsoft.com/office/word/2010/wordprocessingShape">
                    <wps:wsp>
                      <wps:cNvSpPr/>
                      <wps:spPr>
                        <a:xfrm>
                          <a:off x="0" y="0"/>
                          <a:ext cx="1552575" cy="1647825"/>
                        </a:xfrm>
                        <a:prstGeom prst="chevron">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9E22D1"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0" o:spid="_x0000_s1026" type="#_x0000_t55" style="position:absolute;margin-left:200.25pt;margin-top:-33pt;width:122.25pt;height:129.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" adj="10800" fillcolor="#1f4d78 [1604]" strokecolor="#1f4d78 [1604]" strokeweight="1pt"/>
            </w:pict>
          </mc:Fallback>
        </mc:AlternateContent>
      </w: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-876300</wp:posOffset>
                </wp:positionH>
                <wp:positionV relativeFrom="paragraph">
                  <wp:posOffset>-428625</wp:posOffset>
                </wp:positionV>
                <wp:extent cx="3924300" cy="1647825"/>
                <wp:effectExtent l="0" t="0" r="38100" b="28575"/>
                <wp:wrapNone/>
                <wp:docPr id="9" name="Pentagon 9"/>
                <wp:cNvGraphicFramePr/>
                <a:graphic xmlns:a="http://schemas.openxmlformats.org/drawingml/2006/main">
                  <a:graphicData uri="http://schemas.microsoft.com/office/word/2010/wordprocessingShape">
                    <wps:wsp>
                      <wps:cNvSpPr/>
                      <wps:spPr>
                        <a:xfrm>
                          <a:off x="0" y="0"/>
                          <a:ext cx="3924300" cy="1647825"/>
                        </a:xfrm>
                        <a:prstGeom prst="homePlat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F5CBD" w:rsidRPr="00A66F2A" w:rsidRDefault="001F5CBD" w:rsidP="001F5CBD">
                            <w:pPr>
                              <w:ind w:right="480" w:firstLine="720"/>
                              <w:rPr>
                                <w:b/>
                                <w:sz w:val="26"/>
                                <w:szCs w:val="26"/>
                              </w:rPr>
                            </w:pPr>
                            <w:r w:rsidRPr="00A66F2A">
                              <w:rPr>
                                <w:b/>
                                <w:sz w:val="26"/>
                                <w:szCs w:val="26"/>
                              </w:rPr>
                              <w:t>For Immediate Release</w:t>
                            </w:r>
                          </w:p>
                          <w:p w:rsidR="001F5CBD" w:rsidRPr="00A66F2A" w:rsidRDefault="001F5CBD" w:rsidP="001F5CBD">
                            <w:pPr>
                              <w:ind w:right="480" w:firstLine="720"/>
                              <w:rPr>
                                <w:sz w:val="26"/>
                                <w:szCs w:val="26"/>
                              </w:rPr>
                            </w:pPr>
                            <w:r w:rsidRPr="00A66F2A">
                              <w:rPr>
                                <w:sz w:val="26"/>
                                <w:szCs w:val="26"/>
                              </w:rPr>
                              <w:t>Contact:  Mike Ruzicka</w:t>
                            </w:r>
                          </w:p>
                          <w:p w:rsidR="001F5CBD" w:rsidRPr="00A66F2A" w:rsidRDefault="001F5CBD" w:rsidP="001F5CBD">
                            <w:pPr>
                              <w:ind w:right="480" w:firstLine="720"/>
                              <w:rPr>
                                <w:sz w:val="26"/>
                                <w:szCs w:val="26"/>
                              </w:rPr>
                            </w:pPr>
                            <w:r w:rsidRPr="00A66F2A">
                              <w:rPr>
                                <w:sz w:val="26"/>
                                <w:szCs w:val="26"/>
                              </w:rPr>
                              <w:t>414.778.4929 or 414.870.1876</w:t>
                            </w:r>
                          </w:p>
                          <w:p w:rsidR="001F5CBD" w:rsidRPr="001F5CBD" w:rsidRDefault="002460D3" w:rsidP="001F5CBD">
                            <w:pPr>
                              <w:ind w:firstLine="720"/>
                              <w:rPr>
                                <w:color w:val="FFFFFF" w:themeColor="background1"/>
                              </w:rPr>
                            </w:pPr>
                            <w:hyperlink r:id="rId6" w:history="1">
                              <w:r w:rsidR="001F5CBD" w:rsidRPr="00A66F2A">
                                <w:rPr>
                                  <w:rStyle w:val="Hyperlink"/>
                                  <w:color w:val="FFFFFF" w:themeColor="background1"/>
                                  <w:sz w:val="26"/>
                                  <w:szCs w:val="26"/>
                                </w:rPr>
                                <w:t>mike@gmar.ws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9" o:spid="_x0000_s1026" type="#_x0000_t15" style="position:absolute;left:0;text-align:left;margin-left:-69pt;margin-top:-33.75pt;width:309pt;height:12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" adj="17065" fillcolor="#1f4d78 [1604]" strokecolor="#1f4d78 [1604]" strokeweight="1pt">
                <v:textbox>
                  <w:txbxContent>
                    <w:p w:rsidR="001F5CBD" w:rsidRPr="00A66F2A" w:rsidRDefault="001F5CBD" w:rsidP="001F5CBD">
                      <w:pPr>
                        <w:ind w:right="480" w:firstLine="720"/>
                        <w:rPr>
                          <w:b/>
                          <w:sz w:val="26"/>
                          <w:szCs w:val="26"/>
                        </w:rPr>
                      </w:pPr>
                      <w:r w:rsidRPr="00A66F2A">
                        <w:rPr>
                          <w:b/>
                          <w:sz w:val="26"/>
                          <w:szCs w:val="26"/>
                        </w:rPr>
                        <w:t>For Immediate Release</w:t>
                      </w:r>
                    </w:p>
                    <w:p w:rsidR="001F5CBD" w:rsidRPr="00A66F2A" w:rsidRDefault="001F5CBD" w:rsidP="001F5CBD">
                      <w:pPr>
                        <w:ind w:right="480" w:firstLine="720"/>
                        <w:rPr>
                          <w:sz w:val="26"/>
                          <w:szCs w:val="26"/>
                        </w:rPr>
                      </w:pPr>
                      <w:r w:rsidRPr="00A66F2A">
                        <w:rPr>
                          <w:sz w:val="26"/>
                          <w:szCs w:val="26"/>
                        </w:rPr>
                        <w:t>Contact:  Mike Ruzicka</w:t>
                      </w:r>
                    </w:p>
                    <w:p w:rsidR="001F5CBD" w:rsidRPr="00A66F2A" w:rsidRDefault="001F5CBD" w:rsidP="001F5CBD">
                      <w:pPr>
                        <w:ind w:right="480" w:firstLine="720"/>
                        <w:rPr>
                          <w:sz w:val="26"/>
                          <w:szCs w:val="26"/>
                        </w:rPr>
                      </w:pPr>
                      <w:r w:rsidRPr="00A66F2A">
                        <w:rPr>
                          <w:sz w:val="26"/>
                          <w:szCs w:val="26"/>
                        </w:rPr>
                        <w:t>414.778.4929 or 414.870.1876</w:t>
                      </w:r>
                    </w:p>
                    <w:p w:rsidR="001F5CBD" w:rsidRPr="001F5CBD" w:rsidRDefault="00F041D9" w:rsidP="001F5CBD">
                      <w:pPr>
                        <w:ind w:firstLine="720"/>
                        <w:rPr>
                          <w:color w:val="FFFFFF" w:themeColor="background1"/>
                        </w:rPr>
                      </w:pPr>
                      <w:hyperlink r:id="rId7" w:history="1">
                        <w:r w:rsidR="001F5CBD" w:rsidRPr="00A66F2A">
                          <w:rPr>
                            <w:rStyle w:val="Hyperlink"/>
                            <w:color w:val="FFFFFF" w:themeColor="background1"/>
                            <w:sz w:val="26"/>
                            <w:szCs w:val="26"/>
                          </w:rPr>
                          <w:t>mike@gmar.ws</w:t>
                        </w:r>
                      </w:hyperlink>
                    </w:p>
                  </w:txbxContent>
                </v:textbox>
              </v:shape>
            </w:pict>
          </mc:Fallback>
        </mc:AlternateContent>
      </w:r>
      <w:r w:rsidR="00127EF0">
        <w:rPr>
          <w:sz w:val="24"/>
          <w:szCs w:val="24"/>
        </w:rPr>
        <w:t xml:space="preserve"> </w:t>
      </w:r>
    </w:p>
    <w:p w:rsidR="00127EF0" w:rsidRDefault="00127EF0" w:rsidP="00127EF0">
      <w:pPr>
        <w:rPr>
          <w:sz w:val="24"/>
          <w:szCs w:val="24"/>
        </w:rPr>
      </w:pPr>
    </w:p>
    <w:p w:rsidR="00127EF0" w:rsidRDefault="00127EF0" w:rsidP="00127EF0">
      <w:pPr>
        <w:rPr>
          <w:sz w:val="24"/>
          <w:szCs w:val="24"/>
        </w:rPr>
      </w:pPr>
    </w:p>
    <w:p w:rsidR="00127EF0" w:rsidRDefault="00127EF0" w:rsidP="00127EF0">
      <w:pPr>
        <w:jc w:val="center"/>
        <w:rPr>
          <w:rFonts w:eastAsia="Times New Roman"/>
          <w:b/>
          <w:bCs/>
          <w:sz w:val="24"/>
          <w:szCs w:val="24"/>
        </w:rPr>
      </w:pPr>
    </w:p>
    <w:p w:rsidR="001F5CBD" w:rsidRDefault="001F5CBD" w:rsidP="00127EF0">
      <w:pPr>
        <w:spacing w:before="120" w:after="120"/>
        <w:ind w:left="-360" w:right="-360"/>
        <w:contextualSpacing/>
        <w:jc w:val="center"/>
        <w:rPr>
          <w:rFonts w:ascii="Arial Narrow" w:hAnsi="Arial Narrow"/>
          <w:b/>
          <w:bCs/>
          <w:sz w:val="56"/>
          <w:szCs w:val="56"/>
        </w:rPr>
      </w:pPr>
    </w:p>
    <w:p w:rsidR="001F5CBD" w:rsidRDefault="001F5CBD" w:rsidP="001F5CBD">
      <w:pPr>
        <w:spacing w:before="120" w:after="120"/>
        <w:ind w:left="-360" w:right="-360"/>
        <w:contextualSpacing/>
        <w:jc w:val="center"/>
        <w:rPr>
          <w:rFonts w:ascii="Arial Narrow" w:hAnsi="Arial Narrow"/>
          <w:b/>
          <w:bCs/>
          <w:sz w:val="56"/>
          <w:szCs w:val="56"/>
        </w:rPr>
      </w:pPr>
    </w:p>
    <w:p w:rsidR="00127EF0" w:rsidRPr="001F5CBD" w:rsidRDefault="00831BE0" w:rsidP="001F5CBD">
      <w:pPr>
        <w:spacing w:before="120" w:after="120"/>
        <w:ind w:left="-360" w:right="-360"/>
        <w:contextualSpacing/>
        <w:jc w:val="center"/>
        <w:rPr>
          <w:rFonts w:ascii="Arial Narrow" w:hAnsi="Arial Narrow"/>
          <w:b/>
          <w:bCs/>
          <w:sz w:val="72"/>
          <w:szCs w:val="72"/>
        </w:rPr>
      </w:pPr>
      <w:r>
        <w:rPr>
          <w:rFonts w:ascii="Arial Narrow" w:hAnsi="Arial Narrow"/>
          <w:b/>
          <w:bCs/>
          <w:sz w:val="72"/>
          <w:szCs w:val="72"/>
        </w:rPr>
        <w:t>July</w:t>
      </w:r>
      <w:r w:rsidR="00127EF0" w:rsidRPr="001F5CBD">
        <w:rPr>
          <w:rFonts w:ascii="Arial Narrow" w:hAnsi="Arial Narrow"/>
          <w:b/>
          <w:bCs/>
          <w:sz w:val="72"/>
          <w:szCs w:val="72"/>
        </w:rPr>
        <w:t xml:space="preserve"> Home Sales </w:t>
      </w:r>
      <w:r w:rsidR="00D30CAD">
        <w:rPr>
          <w:rFonts w:ascii="Arial Narrow" w:hAnsi="Arial Narrow"/>
          <w:b/>
          <w:bCs/>
          <w:sz w:val="72"/>
          <w:szCs w:val="72"/>
        </w:rPr>
        <w:t>Up</w:t>
      </w:r>
      <w:r w:rsidR="00D01D6F">
        <w:rPr>
          <w:rFonts w:ascii="Arial Narrow" w:hAnsi="Arial Narrow"/>
          <w:b/>
          <w:bCs/>
          <w:sz w:val="72"/>
          <w:szCs w:val="72"/>
        </w:rPr>
        <w:t xml:space="preserve"> </w:t>
      </w:r>
      <w:r w:rsidR="002F0554">
        <w:rPr>
          <w:rFonts w:ascii="Arial Narrow" w:hAnsi="Arial Narrow"/>
          <w:b/>
          <w:bCs/>
          <w:sz w:val="72"/>
          <w:szCs w:val="72"/>
        </w:rPr>
        <w:t>3</w:t>
      </w:r>
      <w:r w:rsidR="009E7792">
        <w:rPr>
          <w:rFonts w:ascii="Arial Narrow" w:hAnsi="Arial Narrow"/>
          <w:b/>
          <w:bCs/>
          <w:sz w:val="72"/>
          <w:szCs w:val="72"/>
        </w:rPr>
        <w:t>.</w:t>
      </w:r>
      <w:r w:rsidR="002F0554">
        <w:rPr>
          <w:rFonts w:ascii="Arial Narrow" w:hAnsi="Arial Narrow"/>
          <w:b/>
          <w:bCs/>
          <w:sz w:val="72"/>
          <w:szCs w:val="72"/>
        </w:rPr>
        <w:t>8</w:t>
      </w:r>
      <w:r w:rsidR="00127EF0" w:rsidRPr="001F5CBD">
        <w:rPr>
          <w:rFonts w:ascii="Arial Narrow" w:hAnsi="Arial Narrow"/>
          <w:b/>
          <w:bCs/>
          <w:sz w:val="72"/>
          <w:szCs w:val="72"/>
        </w:rPr>
        <w:t>%</w:t>
      </w:r>
    </w:p>
    <w:p w:rsidR="00127EF0" w:rsidRPr="00E302C4" w:rsidRDefault="00127EF0" w:rsidP="00E302C4">
      <w:pPr>
        <w:ind w:left="-360" w:right="-360"/>
        <w:jc w:val="center"/>
        <w:rPr>
          <w:rFonts w:eastAsia="Times New Roman"/>
          <w:b/>
          <w:bCs/>
          <w:sz w:val="24"/>
          <w:szCs w:val="24"/>
        </w:rPr>
      </w:pPr>
    </w:p>
    <w:tbl>
      <w:tblPr>
        <w:tblStyle w:val="TableGrid"/>
        <w:tblpPr w:leftFromText="180" w:rightFromText="180" w:vertAnchor="text" w:horzAnchor="margin" w:tblpX="-360" w:tblpY="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160"/>
      </w:tblGrid>
      <w:tr w:rsidR="00E302C4" w:rsidTr="00F93B42">
        <w:trPr>
          <w:trHeight w:val="495"/>
        </w:trPr>
        <w:tc>
          <w:tcPr>
            <w:tcW w:w="5160" w:type="dxa"/>
            <w:vAlign w:val="center"/>
          </w:tcPr>
          <w:p w:rsidR="00E302C4" w:rsidRPr="00E302C4" w:rsidRDefault="00E302C4" w:rsidP="00E302C4">
            <w:pPr>
              <w:spacing w:before="120" w:after="120"/>
              <w:ind w:left="-115" w:right="-360"/>
              <w:contextualSpacing/>
              <w:rPr>
                <w:rFonts w:ascii="Arial Narrow" w:hAnsi="Arial Narrow"/>
                <w:sz w:val="24"/>
                <w:szCs w:val="24"/>
              </w:rPr>
            </w:pPr>
            <w:r w:rsidRPr="00E302C4">
              <w:rPr>
                <w:rFonts w:ascii="Arial Narrow" w:hAnsi="Arial Narrow"/>
                <w:b/>
                <w:bCs/>
                <w:sz w:val="24"/>
                <w:szCs w:val="24"/>
              </w:rPr>
              <w:t>Market Highlights</w:t>
            </w:r>
          </w:p>
        </w:tc>
      </w:tr>
      <w:tr w:rsidR="00E302C4" w:rsidTr="00F93B42">
        <w:trPr>
          <w:trHeight w:hRule="exact" w:val="375"/>
        </w:trPr>
        <w:tc>
          <w:tcPr>
            <w:tcW w:w="5160" w:type="dxa"/>
            <w:shd w:val="clear" w:color="auto" w:fill="DEEAF6" w:themeFill="accent1" w:themeFillTint="33"/>
            <w:vAlign w:val="center"/>
          </w:tcPr>
          <w:p w:rsidR="00E302C4" w:rsidRPr="00577F84" w:rsidRDefault="00884390" w:rsidP="00884390">
            <w:pPr>
              <w:pStyle w:val="ListParagraph"/>
              <w:numPr>
                <w:ilvl w:val="0"/>
                <w:numId w:val="3"/>
              </w:numPr>
              <w:spacing w:after="120"/>
              <w:ind w:left="240" w:right="-360" w:hanging="240"/>
              <w:rPr>
                <w:sz w:val="24"/>
                <w:szCs w:val="24"/>
              </w:rPr>
            </w:pPr>
            <w:r>
              <w:rPr>
                <w:sz w:val="24"/>
                <w:szCs w:val="24"/>
              </w:rPr>
              <w:t xml:space="preserve">Second </w:t>
            </w:r>
            <w:r w:rsidR="00F93B42">
              <w:rPr>
                <w:sz w:val="24"/>
                <w:szCs w:val="24"/>
              </w:rPr>
              <w:t xml:space="preserve">Positive </w:t>
            </w:r>
            <w:r w:rsidR="00524132">
              <w:rPr>
                <w:sz w:val="24"/>
                <w:szCs w:val="24"/>
              </w:rPr>
              <w:t xml:space="preserve">Sales </w:t>
            </w:r>
            <w:r w:rsidR="00F93B42">
              <w:rPr>
                <w:sz w:val="24"/>
                <w:szCs w:val="24"/>
              </w:rPr>
              <w:t>Month in 2019</w:t>
            </w:r>
          </w:p>
        </w:tc>
      </w:tr>
      <w:tr w:rsidR="00E302C4" w:rsidTr="00F93B42">
        <w:trPr>
          <w:trHeight w:hRule="exact" w:val="375"/>
        </w:trPr>
        <w:tc>
          <w:tcPr>
            <w:tcW w:w="5160" w:type="dxa"/>
            <w:shd w:val="clear" w:color="auto" w:fill="DEEAF6" w:themeFill="accent1" w:themeFillTint="33"/>
            <w:vAlign w:val="center"/>
          </w:tcPr>
          <w:p w:rsidR="00E302C4" w:rsidRPr="00577F84" w:rsidRDefault="00884390" w:rsidP="00884390">
            <w:pPr>
              <w:pStyle w:val="ListParagraph"/>
              <w:numPr>
                <w:ilvl w:val="0"/>
                <w:numId w:val="3"/>
              </w:numPr>
              <w:spacing w:after="120"/>
              <w:ind w:left="240" w:right="-360" w:hanging="240"/>
              <w:rPr>
                <w:sz w:val="24"/>
                <w:szCs w:val="24"/>
              </w:rPr>
            </w:pPr>
            <w:r>
              <w:rPr>
                <w:sz w:val="24"/>
                <w:szCs w:val="24"/>
              </w:rPr>
              <w:t>May – July Peak Sales Continued</w:t>
            </w:r>
          </w:p>
        </w:tc>
      </w:tr>
      <w:tr w:rsidR="00E302C4" w:rsidTr="00F93B42">
        <w:trPr>
          <w:trHeight w:hRule="exact" w:val="375"/>
        </w:trPr>
        <w:tc>
          <w:tcPr>
            <w:tcW w:w="5160" w:type="dxa"/>
            <w:shd w:val="clear" w:color="auto" w:fill="DEEAF6" w:themeFill="accent1" w:themeFillTint="33"/>
            <w:vAlign w:val="center"/>
          </w:tcPr>
          <w:p w:rsidR="00E302C4" w:rsidRDefault="000D45BC" w:rsidP="0089092A">
            <w:pPr>
              <w:pStyle w:val="ListParagraph"/>
              <w:numPr>
                <w:ilvl w:val="0"/>
                <w:numId w:val="3"/>
              </w:numPr>
              <w:spacing w:after="120"/>
              <w:ind w:left="240" w:right="-360" w:hanging="240"/>
              <w:rPr>
                <w:sz w:val="24"/>
                <w:szCs w:val="24"/>
              </w:rPr>
            </w:pPr>
            <w:r>
              <w:rPr>
                <w:sz w:val="24"/>
                <w:szCs w:val="24"/>
              </w:rPr>
              <w:t>M</w:t>
            </w:r>
            <w:r w:rsidR="006B1AEE">
              <w:rPr>
                <w:sz w:val="24"/>
                <w:szCs w:val="24"/>
              </w:rPr>
              <w:t xml:space="preserve">ore </w:t>
            </w:r>
            <w:r>
              <w:rPr>
                <w:sz w:val="24"/>
                <w:szCs w:val="24"/>
              </w:rPr>
              <w:t>U</w:t>
            </w:r>
            <w:r w:rsidR="006B1AEE">
              <w:rPr>
                <w:sz w:val="24"/>
                <w:szCs w:val="24"/>
              </w:rPr>
              <w:t xml:space="preserve">nits </w:t>
            </w:r>
            <w:r>
              <w:rPr>
                <w:sz w:val="24"/>
                <w:szCs w:val="24"/>
              </w:rPr>
              <w:t>N</w:t>
            </w:r>
            <w:r w:rsidR="0089092A">
              <w:rPr>
                <w:sz w:val="24"/>
                <w:szCs w:val="24"/>
              </w:rPr>
              <w:t xml:space="preserve">eeded </w:t>
            </w:r>
            <w:r>
              <w:rPr>
                <w:sz w:val="24"/>
                <w:szCs w:val="24"/>
              </w:rPr>
              <w:t>U</w:t>
            </w:r>
            <w:r w:rsidR="006B1AEE">
              <w:rPr>
                <w:sz w:val="24"/>
                <w:szCs w:val="24"/>
              </w:rPr>
              <w:t>nder $300K</w:t>
            </w:r>
          </w:p>
        </w:tc>
      </w:tr>
    </w:tbl>
    <w:p w:rsidR="00577F84" w:rsidRDefault="00577F84" w:rsidP="001F5CBD">
      <w:pPr>
        <w:spacing w:before="120" w:after="120"/>
        <w:ind w:left="-360" w:right="-360"/>
        <w:contextualSpacing/>
        <w:rPr>
          <w:b/>
          <w:bCs/>
          <w:sz w:val="24"/>
          <w:szCs w:val="24"/>
        </w:rPr>
      </w:pPr>
    </w:p>
    <w:p w:rsidR="00577F84" w:rsidRDefault="00577F84" w:rsidP="001F5CBD">
      <w:pPr>
        <w:spacing w:before="120" w:after="120"/>
        <w:ind w:left="-360" w:right="-360"/>
        <w:contextualSpacing/>
        <w:rPr>
          <w:b/>
          <w:bCs/>
          <w:sz w:val="24"/>
          <w:szCs w:val="24"/>
        </w:rPr>
      </w:pPr>
    </w:p>
    <w:p w:rsidR="00577F84" w:rsidRDefault="00577F84" w:rsidP="001F5CBD">
      <w:pPr>
        <w:spacing w:before="120" w:after="120"/>
        <w:ind w:left="-360" w:right="-360"/>
        <w:contextualSpacing/>
        <w:rPr>
          <w:b/>
          <w:bCs/>
          <w:sz w:val="24"/>
          <w:szCs w:val="24"/>
        </w:rPr>
      </w:pPr>
    </w:p>
    <w:p w:rsidR="00577F84" w:rsidRDefault="00577F84" w:rsidP="001F5CBD">
      <w:pPr>
        <w:spacing w:before="120" w:after="120"/>
        <w:ind w:left="-360" w:right="-360"/>
        <w:contextualSpacing/>
        <w:rPr>
          <w:b/>
          <w:bCs/>
          <w:sz w:val="24"/>
          <w:szCs w:val="24"/>
        </w:rPr>
      </w:pPr>
    </w:p>
    <w:p w:rsidR="00577F84" w:rsidRDefault="00577F84" w:rsidP="001F5CBD">
      <w:pPr>
        <w:spacing w:before="120" w:after="120"/>
        <w:ind w:left="-360" w:right="-360"/>
        <w:contextualSpacing/>
        <w:rPr>
          <w:b/>
          <w:bCs/>
          <w:sz w:val="24"/>
          <w:szCs w:val="24"/>
        </w:rPr>
      </w:pPr>
    </w:p>
    <w:p w:rsidR="00E302C4" w:rsidRDefault="00E302C4" w:rsidP="001F5CBD">
      <w:pPr>
        <w:spacing w:before="120" w:after="120"/>
        <w:ind w:left="-360" w:right="-360"/>
        <w:contextualSpacing/>
        <w:rPr>
          <w:sz w:val="24"/>
          <w:szCs w:val="24"/>
        </w:rPr>
      </w:pPr>
    </w:p>
    <w:p w:rsidR="00E302C4" w:rsidRDefault="00E302C4" w:rsidP="001F5CBD">
      <w:pPr>
        <w:spacing w:before="120" w:after="120"/>
        <w:ind w:left="-360" w:right="-360"/>
        <w:contextualSpacing/>
        <w:rPr>
          <w:sz w:val="24"/>
          <w:szCs w:val="24"/>
        </w:rPr>
      </w:pPr>
    </w:p>
    <w:p w:rsidR="00AB2C89" w:rsidRDefault="003121D0" w:rsidP="005533BD">
      <w:pPr>
        <w:spacing w:before="120" w:after="120"/>
        <w:ind w:left="-360" w:right="-360"/>
        <w:contextualSpacing/>
        <w:rPr>
          <w:sz w:val="24"/>
          <w:szCs w:val="24"/>
        </w:rPr>
      </w:pPr>
      <w:r>
        <w:rPr>
          <w:sz w:val="24"/>
          <w:szCs w:val="24"/>
        </w:rPr>
        <w:t>Ju</w:t>
      </w:r>
      <w:r w:rsidR="00F041D9">
        <w:rPr>
          <w:sz w:val="24"/>
          <w:szCs w:val="24"/>
        </w:rPr>
        <w:t>ly</w:t>
      </w:r>
      <w:r w:rsidR="00366609">
        <w:rPr>
          <w:sz w:val="24"/>
          <w:szCs w:val="24"/>
        </w:rPr>
        <w:t xml:space="preserve"> </w:t>
      </w:r>
      <w:r w:rsidR="00E56F12">
        <w:rPr>
          <w:sz w:val="24"/>
          <w:szCs w:val="24"/>
        </w:rPr>
        <w:t>1</w:t>
      </w:r>
      <w:r w:rsidR="00F041D9">
        <w:rPr>
          <w:sz w:val="24"/>
          <w:szCs w:val="24"/>
        </w:rPr>
        <w:t>3</w:t>
      </w:r>
      <w:r w:rsidR="00127EF0">
        <w:rPr>
          <w:sz w:val="24"/>
          <w:szCs w:val="24"/>
        </w:rPr>
        <w:t>, 201</w:t>
      </w:r>
      <w:r w:rsidR="00366609">
        <w:rPr>
          <w:sz w:val="24"/>
          <w:szCs w:val="24"/>
        </w:rPr>
        <w:t>9</w:t>
      </w:r>
      <w:r w:rsidR="00127EF0">
        <w:rPr>
          <w:sz w:val="24"/>
          <w:szCs w:val="24"/>
        </w:rPr>
        <w:t xml:space="preserve"> – Home sales were </w:t>
      </w:r>
      <w:r w:rsidR="00F93B42">
        <w:rPr>
          <w:sz w:val="24"/>
          <w:szCs w:val="24"/>
        </w:rPr>
        <w:t>up</w:t>
      </w:r>
      <w:r w:rsidR="0068075F">
        <w:rPr>
          <w:sz w:val="24"/>
          <w:szCs w:val="24"/>
        </w:rPr>
        <w:t xml:space="preserve"> </w:t>
      </w:r>
      <w:r w:rsidR="002F0554">
        <w:rPr>
          <w:sz w:val="24"/>
          <w:szCs w:val="24"/>
        </w:rPr>
        <w:t>3</w:t>
      </w:r>
      <w:r w:rsidR="009E7792">
        <w:rPr>
          <w:sz w:val="24"/>
          <w:szCs w:val="24"/>
        </w:rPr>
        <w:t>.</w:t>
      </w:r>
      <w:r w:rsidR="002F0554">
        <w:rPr>
          <w:sz w:val="24"/>
          <w:szCs w:val="24"/>
        </w:rPr>
        <w:t>8</w:t>
      </w:r>
      <w:r w:rsidR="009E7792">
        <w:rPr>
          <w:sz w:val="24"/>
          <w:szCs w:val="24"/>
        </w:rPr>
        <w:t>%</w:t>
      </w:r>
      <w:r w:rsidR="00036C88">
        <w:rPr>
          <w:sz w:val="24"/>
          <w:szCs w:val="24"/>
        </w:rPr>
        <w:t xml:space="preserve"> </w:t>
      </w:r>
      <w:r w:rsidR="009717AC">
        <w:rPr>
          <w:sz w:val="24"/>
          <w:szCs w:val="24"/>
        </w:rPr>
        <w:t xml:space="preserve">in </w:t>
      </w:r>
      <w:r w:rsidR="00831BE0">
        <w:rPr>
          <w:sz w:val="24"/>
          <w:szCs w:val="24"/>
        </w:rPr>
        <w:t>July</w:t>
      </w:r>
      <w:r w:rsidR="00FE44EA">
        <w:rPr>
          <w:sz w:val="24"/>
          <w:szCs w:val="24"/>
        </w:rPr>
        <w:t xml:space="preserve"> compared to a year earlier</w:t>
      </w:r>
      <w:r w:rsidR="00AB2C89">
        <w:rPr>
          <w:sz w:val="24"/>
          <w:szCs w:val="24"/>
        </w:rPr>
        <w:t xml:space="preserve"> in the 4 county greater Milwaukee market</w:t>
      </w:r>
      <w:r w:rsidR="003C35B1">
        <w:rPr>
          <w:sz w:val="24"/>
          <w:szCs w:val="24"/>
        </w:rPr>
        <w:t xml:space="preserve">. There were </w:t>
      </w:r>
      <w:r w:rsidR="00F32518">
        <w:rPr>
          <w:sz w:val="24"/>
          <w:szCs w:val="24"/>
        </w:rPr>
        <w:t>2,</w:t>
      </w:r>
      <w:r w:rsidR="002F0554">
        <w:rPr>
          <w:sz w:val="24"/>
          <w:szCs w:val="24"/>
        </w:rPr>
        <w:t>263</w:t>
      </w:r>
      <w:r w:rsidR="00F32518">
        <w:rPr>
          <w:sz w:val="24"/>
          <w:szCs w:val="24"/>
        </w:rPr>
        <w:t xml:space="preserve"> </w:t>
      </w:r>
      <w:r w:rsidR="003C35B1">
        <w:rPr>
          <w:sz w:val="24"/>
          <w:szCs w:val="24"/>
        </w:rPr>
        <w:t xml:space="preserve">homes sold in </w:t>
      </w:r>
      <w:r w:rsidR="00831BE0">
        <w:rPr>
          <w:sz w:val="24"/>
          <w:szCs w:val="24"/>
        </w:rPr>
        <w:t>July</w:t>
      </w:r>
      <w:r w:rsidR="003C35B1">
        <w:rPr>
          <w:sz w:val="24"/>
          <w:szCs w:val="24"/>
        </w:rPr>
        <w:t xml:space="preserve"> 2019, versus </w:t>
      </w:r>
      <w:r w:rsidR="00F32518">
        <w:rPr>
          <w:sz w:val="24"/>
          <w:szCs w:val="24"/>
        </w:rPr>
        <w:t>2,1</w:t>
      </w:r>
      <w:r w:rsidR="002F0554">
        <w:rPr>
          <w:sz w:val="24"/>
          <w:szCs w:val="24"/>
        </w:rPr>
        <w:t>80</w:t>
      </w:r>
      <w:r w:rsidR="00F32518">
        <w:rPr>
          <w:sz w:val="24"/>
          <w:szCs w:val="24"/>
        </w:rPr>
        <w:t xml:space="preserve"> </w:t>
      </w:r>
      <w:r w:rsidR="003C35B1">
        <w:rPr>
          <w:sz w:val="24"/>
          <w:szCs w:val="24"/>
        </w:rPr>
        <w:t xml:space="preserve">units in </w:t>
      </w:r>
      <w:r w:rsidR="00831BE0">
        <w:rPr>
          <w:sz w:val="24"/>
          <w:szCs w:val="24"/>
        </w:rPr>
        <w:t>July</w:t>
      </w:r>
      <w:r w:rsidR="003C35B1">
        <w:rPr>
          <w:sz w:val="24"/>
          <w:szCs w:val="24"/>
        </w:rPr>
        <w:t xml:space="preserve"> 2018.</w:t>
      </w:r>
      <w:r w:rsidR="0038065B" w:rsidRPr="0038065B">
        <w:rPr>
          <w:sz w:val="24"/>
          <w:szCs w:val="24"/>
        </w:rPr>
        <w:t xml:space="preserve"> </w:t>
      </w:r>
      <w:r w:rsidR="00831BE0">
        <w:rPr>
          <w:sz w:val="24"/>
          <w:szCs w:val="24"/>
        </w:rPr>
        <w:t>July</w:t>
      </w:r>
      <w:r w:rsidR="0038065B">
        <w:rPr>
          <w:sz w:val="24"/>
          <w:szCs w:val="24"/>
        </w:rPr>
        <w:t xml:space="preserve"> marked the </w:t>
      </w:r>
      <w:r w:rsidR="002F0554">
        <w:rPr>
          <w:sz w:val="24"/>
          <w:szCs w:val="24"/>
        </w:rPr>
        <w:t>second</w:t>
      </w:r>
      <w:r w:rsidR="0038065B">
        <w:rPr>
          <w:sz w:val="24"/>
          <w:szCs w:val="24"/>
        </w:rPr>
        <w:t xml:space="preserve"> time the market saw positive sales in 2019.</w:t>
      </w:r>
    </w:p>
    <w:tbl>
      <w:tblPr>
        <w:tblpPr w:leftFromText="180" w:rightFromText="180" w:bottomFromText="115" w:vertAnchor="text" w:horzAnchor="margin" w:tblpX="-360" w:tblpY="96"/>
        <w:tblW w:w="4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0"/>
        <w:gridCol w:w="869"/>
        <w:gridCol w:w="870"/>
        <w:gridCol w:w="1108"/>
        <w:gridCol w:w="123"/>
      </w:tblGrid>
      <w:tr w:rsidR="00526222" w:rsidRPr="00C41C9C" w:rsidTr="0038065B">
        <w:trPr>
          <w:trHeight w:val="432"/>
        </w:trPr>
        <w:tc>
          <w:tcPr>
            <w:tcW w:w="4680" w:type="dxa"/>
            <w:gridSpan w:val="5"/>
            <w:tcBorders>
              <w:top w:val="nil"/>
              <w:left w:val="nil"/>
              <w:bottom w:val="nil"/>
              <w:right w:val="nil"/>
            </w:tcBorders>
            <w:shd w:val="clear" w:color="auto" w:fill="auto"/>
            <w:tcMar>
              <w:top w:w="0" w:type="dxa"/>
              <w:left w:w="108" w:type="dxa"/>
              <w:bottom w:w="0" w:type="dxa"/>
              <w:right w:w="108" w:type="dxa"/>
            </w:tcMar>
            <w:vAlign w:val="center"/>
            <w:hideMark/>
          </w:tcPr>
          <w:p w:rsidR="00526222" w:rsidRPr="00754FD0" w:rsidRDefault="00831BE0" w:rsidP="00526222">
            <w:pPr>
              <w:spacing w:line="252" w:lineRule="auto"/>
              <w:ind w:left="-108" w:right="85"/>
              <w:rPr>
                <w:rFonts w:ascii="Arial Narrow" w:hAnsi="Arial Narrow"/>
                <w:b/>
                <w:sz w:val="24"/>
                <w:szCs w:val="24"/>
              </w:rPr>
            </w:pPr>
            <w:r>
              <w:rPr>
                <w:rFonts w:ascii="Arial Narrow" w:hAnsi="Arial Narrow"/>
                <w:b/>
                <w:sz w:val="24"/>
                <w:szCs w:val="24"/>
              </w:rPr>
              <w:t>July</w:t>
            </w:r>
            <w:r w:rsidR="00526222" w:rsidRPr="00754FD0">
              <w:rPr>
                <w:rFonts w:ascii="Arial Narrow" w:hAnsi="Arial Narrow"/>
                <w:b/>
                <w:sz w:val="24"/>
                <w:szCs w:val="24"/>
              </w:rPr>
              <w:t xml:space="preserve"> Sales</w:t>
            </w:r>
          </w:p>
        </w:tc>
      </w:tr>
      <w:tr w:rsidR="00526222" w:rsidRPr="00C41C9C" w:rsidTr="0038065B">
        <w:trPr>
          <w:gridAfter w:val="1"/>
          <w:wAfter w:w="123" w:type="dxa"/>
          <w:trHeight w:val="288"/>
        </w:trPr>
        <w:tc>
          <w:tcPr>
            <w:tcW w:w="1710" w:type="dxa"/>
            <w:tcBorders>
              <w:top w:val="nil"/>
              <w:left w:val="nil"/>
              <w:bottom w:val="nil"/>
              <w:right w:val="single" w:sz="12" w:space="0" w:color="FFFFFF"/>
            </w:tcBorders>
            <w:shd w:val="clear" w:color="auto" w:fill="1F4E79" w:themeFill="accent1" w:themeFillShade="80"/>
            <w:vAlign w:val="center"/>
            <w:hideMark/>
          </w:tcPr>
          <w:p w:rsidR="00526222" w:rsidRPr="00754FD0" w:rsidRDefault="00526222" w:rsidP="00526222">
            <w:pPr>
              <w:ind w:left="175" w:right="100"/>
              <w:rPr>
                <w:b/>
                <w:color w:val="FFFFFF" w:themeColor="background1"/>
              </w:rPr>
            </w:pPr>
            <w:r w:rsidRPr="00754FD0">
              <w:rPr>
                <w:b/>
                <w:color w:val="FFFFFF" w:themeColor="background1"/>
              </w:rPr>
              <w:t>County</w:t>
            </w:r>
          </w:p>
        </w:tc>
        <w:tc>
          <w:tcPr>
            <w:tcW w:w="869" w:type="dxa"/>
            <w:tcBorders>
              <w:top w:val="nil"/>
              <w:left w:val="single" w:sz="12" w:space="0" w:color="FFFFFF"/>
              <w:bottom w:val="nil"/>
              <w:right w:val="single" w:sz="12" w:space="0" w:color="FFFFFF"/>
            </w:tcBorders>
            <w:shd w:val="clear" w:color="auto" w:fill="1F4E79" w:themeFill="accent1" w:themeFillShade="80"/>
            <w:tcMar>
              <w:top w:w="0" w:type="dxa"/>
              <w:left w:w="108" w:type="dxa"/>
              <w:bottom w:w="0" w:type="dxa"/>
              <w:right w:w="108" w:type="dxa"/>
            </w:tcMar>
            <w:vAlign w:val="center"/>
            <w:hideMark/>
          </w:tcPr>
          <w:p w:rsidR="00526222" w:rsidRPr="00754FD0" w:rsidRDefault="00526222" w:rsidP="00526222">
            <w:pPr>
              <w:spacing w:line="207" w:lineRule="atLeast"/>
              <w:ind w:left="44" w:right="62"/>
              <w:rPr>
                <w:color w:val="FFFFFF" w:themeColor="background1"/>
              </w:rPr>
            </w:pPr>
            <w:r w:rsidRPr="00754FD0">
              <w:rPr>
                <w:color w:val="FFFFFF" w:themeColor="background1"/>
              </w:rPr>
              <w:t>201</w:t>
            </w:r>
            <w:r>
              <w:rPr>
                <w:color w:val="FFFFFF" w:themeColor="background1"/>
              </w:rPr>
              <w:t>8</w:t>
            </w:r>
          </w:p>
        </w:tc>
        <w:tc>
          <w:tcPr>
            <w:tcW w:w="870" w:type="dxa"/>
            <w:tcBorders>
              <w:top w:val="nil"/>
              <w:left w:val="single" w:sz="12" w:space="0" w:color="FFFFFF"/>
              <w:bottom w:val="nil"/>
              <w:right w:val="single" w:sz="12" w:space="0" w:color="FFFFFF"/>
            </w:tcBorders>
            <w:shd w:val="clear" w:color="auto" w:fill="1F4E79" w:themeFill="accent1" w:themeFillShade="80"/>
            <w:tcMar>
              <w:top w:w="0" w:type="dxa"/>
              <w:left w:w="108" w:type="dxa"/>
              <w:bottom w:w="0" w:type="dxa"/>
              <w:right w:w="108" w:type="dxa"/>
            </w:tcMar>
            <w:vAlign w:val="center"/>
            <w:hideMark/>
          </w:tcPr>
          <w:p w:rsidR="00526222" w:rsidRPr="00754FD0" w:rsidRDefault="00526222" w:rsidP="00526222">
            <w:pPr>
              <w:spacing w:line="207" w:lineRule="atLeast"/>
              <w:ind w:right="-23"/>
              <w:rPr>
                <w:color w:val="FFFFFF" w:themeColor="background1"/>
              </w:rPr>
            </w:pPr>
            <w:r w:rsidRPr="00754FD0">
              <w:rPr>
                <w:color w:val="FFFFFF" w:themeColor="background1"/>
              </w:rPr>
              <w:t>201</w:t>
            </w:r>
            <w:r>
              <w:rPr>
                <w:color w:val="FFFFFF" w:themeColor="background1"/>
              </w:rPr>
              <w:t>9</w:t>
            </w:r>
          </w:p>
        </w:tc>
        <w:tc>
          <w:tcPr>
            <w:tcW w:w="1108" w:type="dxa"/>
            <w:tcBorders>
              <w:top w:val="nil"/>
              <w:left w:val="single" w:sz="12" w:space="0" w:color="FFFFFF"/>
              <w:bottom w:val="nil"/>
              <w:right w:val="nil"/>
            </w:tcBorders>
            <w:shd w:val="clear" w:color="auto" w:fill="1F4E79" w:themeFill="accent1" w:themeFillShade="80"/>
            <w:vAlign w:val="center"/>
          </w:tcPr>
          <w:p w:rsidR="00526222" w:rsidRPr="00754FD0" w:rsidRDefault="00526222" w:rsidP="00526222">
            <w:pPr>
              <w:ind w:left="89" w:right="90"/>
              <w:jc w:val="center"/>
              <w:rPr>
                <w:color w:val="FFFFFF" w:themeColor="background1"/>
              </w:rPr>
            </w:pPr>
            <w:r w:rsidRPr="00754FD0">
              <w:rPr>
                <w:color w:val="FFFFFF" w:themeColor="background1"/>
              </w:rPr>
              <w:t>% Change</w:t>
            </w:r>
          </w:p>
        </w:tc>
      </w:tr>
      <w:tr w:rsidR="00526222" w:rsidRPr="00C41C9C" w:rsidTr="0038065B">
        <w:trPr>
          <w:gridAfter w:val="1"/>
          <w:wAfter w:w="123" w:type="dxa"/>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hideMark/>
          </w:tcPr>
          <w:p w:rsidR="00526222" w:rsidRPr="00C41C9C" w:rsidRDefault="00526222" w:rsidP="00526222">
            <w:pPr>
              <w:spacing w:line="252" w:lineRule="auto"/>
              <w:ind w:left="62" w:right="100"/>
            </w:pPr>
            <w:r w:rsidRPr="00C41C9C">
              <w:t>Milwaukee</w:t>
            </w:r>
          </w:p>
        </w:tc>
        <w:tc>
          <w:tcPr>
            <w:tcW w:w="869" w:type="dxa"/>
            <w:tcBorders>
              <w:top w:val="nil"/>
              <w:left w:val="nil"/>
              <w:bottom w:val="nil"/>
              <w:right w:val="nil"/>
            </w:tcBorders>
            <w:shd w:val="clear" w:color="auto" w:fill="auto"/>
            <w:tcMar>
              <w:top w:w="0" w:type="dxa"/>
              <w:left w:w="108" w:type="dxa"/>
              <w:bottom w:w="0" w:type="dxa"/>
              <w:right w:w="108" w:type="dxa"/>
            </w:tcMar>
            <w:vAlign w:val="bottom"/>
          </w:tcPr>
          <w:p w:rsidR="00526222" w:rsidRPr="00C41C9C" w:rsidRDefault="009F1AE5" w:rsidP="00526222">
            <w:pPr>
              <w:spacing w:line="252" w:lineRule="auto"/>
              <w:ind w:left="44" w:right="62"/>
            </w:pPr>
            <w:r>
              <w:t>1,198</w:t>
            </w:r>
          </w:p>
        </w:tc>
        <w:tc>
          <w:tcPr>
            <w:tcW w:w="870" w:type="dxa"/>
            <w:tcBorders>
              <w:top w:val="nil"/>
              <w:left w:val="nil"/>
              <w:bottom w:val="nil"/>
              <w:right w:val="nil"/>
            </w:tcBorders>
            <w:shd w:val="clear" w:color="auto" w:fill="auto"/>
            <w:tcMar>
              <w:top w:w="0" w:type="dxa"/>
              <w:left w:w="108" w:type="dxa"/>
              <w:bottom w:w="0" w:type="dxa"/>
              <w:right w:w="108" w:type="dxa"/>
            </w:tcMar>
            <w:vAlign w:val="bottom"/>
          </w:tcPr>
          <w:p w:rsidR="00526222" w:rsidRPr="00C41C9C" w:rsidRDefault="009F1AE5" w:rsidP="00526222">
            <w:pPr>
              <w:spacing w:line="252" w:lineRule="auto"/>
              <w:ind w:right="-23"/>
            </w:pPr>
            <w:r>
              <w:t>1,214</w:t>
            </w:r>
          </w:p>
        </w:tc>
        <w:tc>
          <w:tcPr>
            <w:tcW w:w="1108" w:type="dxa"/>
            <w:tcBorders>
              <w:top w:val="nil"/>
              <w:left w:val="nil"/>
              <w:bottom w:val="nil"/>
              <w:right w:val="nil"/>
            </w:tcBorders>
            <w:shd w:val="clear" w:color="auto" w:fill="auto"/>
            <w:vAlign w:val="center"/>
          </w:tcPr>
          <w:p w:rsidR="00526222" w:rsidRPr="00C41C9C" w:rsidRDefault="009F1AE5" w:rsidP="00526222">
            <w:pPr>
              <w:spacing w:line="252" w:lineRule="auto"/>
              <w:ind w:right="445"/>
              <w:jc w:val="right"/>
            </w:pPr>
            <w:r>
              <w:t>1.3</w:t>
            </w:r>
            <w:r w:rsidR="00526222" w:rsidRPr="00C41C9C">
              <w:t>%</w:t>
            </w:r>
          </w:p>
        </w:tc>
      </w:tr>
      <w:tr w:rsidR="00526222" w:rsidRPr="00C41C9C" w:rsidTr="0038065B">
        <w:trPr>
          <w:gridAfter w:val="1"/>
          <w:wAfter w:w="123" w:type="dxa"/>
          <w:trHeight w:val="288"/>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rsidR="00526222" w:rsidRPr="00C41C9C" w:rsidRDefault="00526222" w:rsidP="00526222">
            <w:pPr>
              <w:spacing w:line="252" w:lineRule="auto"/>
              <w:ind w:left="62" w:right="100"/>
            </w:pPr>
            <w:r w:rsidRPr="00C41C9C">
              <w:t>Waukesha</w:t>
            </w:r>
          </w:p>
        </w:tc>
        <w:tc>
          <w:tcPr>
            <w:tcW w:w="86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26222" w:rsidRPr="00C41C9C" w:rsidRDefault="009F1AE5" w:rsidP="00526222">
            <w:pPr>
              <w:spacing w:line="252" w:lineRule="auto"/>
              <w:ind w:left="44" w:right="62"/>
            </w:pPr>
            <w:r>
              <w:t>663</w:t>
            </w:r>
          </w:p>
        </w:tc>
        <w:tc>
          <w:tcPr>
            <w:tcW w:w="87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26222" w:rsidRPr="00C41C9C" w:rsidRDefault="009F1AE5" w:rsidP="00526222">
            <w:pPr>
              <w:spacing w:line="252" w:lineRule="auto"/>
              <w:ind w:right="-23"/>
            </w:pPr>
            <w:r>
              <w:t>669</w:t>
            </w:r>
          </w:p>
        </w:tc>
        <w:tc>
          <w:tcPr>
            <w:tcW w:w="1108" w:type="dxa"/>
            <w:tcBorders>
              <w:top w:val="nil"/>
              <w:left w:val="nil"/>
              <w:bottom w:val="nil"/>
              <w:right w:val="nil"/>
            </w:tcBorders>
            <w:shd w:val="clear" w:color="auto" w:fill="DEEAF6" w:themeFill="accent1" w:themeFillTint="33"/>
            <w:vAlign w:val="center"/>
          </w:tcPr>
          <w:p w:rsidR="00526222" w:rsidRPr="00C41C9C" w:rsidRDefault="009F1AE5" w:rsidP="00526222">
            <w:pPr>
              <w:spacing w:line="252" w:lineRule="auto"/>
              <w:ind w:right="445"/>
              <w:jc w:val="right"/>
            </w:pPr>
            <w:r>
              <w:t>0.9</w:t>
            </w:r>
            <w:r w:rsidR="00526222" w:rsidRPr="00C41C9C">
              <w:t>%</w:t>
            </w:r>
          </w:p>
        </w:tc>
      </w:tr>
      <w:tr w:rsidR="00526222" w:rsidRPr="00C41C9C" w:rsidTr="0038065B">
        <w:trPr>
          <w:gridAfter w:val="1"/>
          <w:wAfter w:w="123" w:type="dxa"/>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hideMark/>
          </w:tcPr>
          <w:p w:rsidR="00526222" w:rsidRPr="00C41C9C" w:rsidRDefault="00526222" w:rsidP="00526222">
            <w:pPr>
              <w:spacing w:line="252" w:lineRule="auto"/>
              <w:ind w:left="62" w:right="100"/>
            </w:pPr>
            <w:r w:rsidRPr="00C41C9C">
              <w:t>Washington</w:t>
            </w:r>
          </w:p>
        </w:tc>
        <w:tc>
          <w:tcPr>
            <w:tcW w:w="869" w:type="dxa"/>
            <w:tcBorders>
              <w:top w:val="nil"/>
              <w:left w:val="nil"/>
              <w:bottom w:val="nil"/>
              <w:right w:val="nil"/>
            </w:tcBorders>
            <w:shd w:val="clear" w:color="auto" w:fill="auto"/>
            <w:tcMar>
              <w:top w:w="0" w:type="dxa"/>
              <w:left w:w="108" w:type="dxa"/>
              <w:bottom w:w="0" w:type="dxa"/>
              <w:right w:w="108" w:type="dxa"/>
            </w:tcMar>
            <w:vAlign w:val="center"/>
          </w:tcPr>
          <w:p w:rsidR="00526222" w:rsidRPr="00C41C9C" w:rsidRDefault="009F1AE5" w:rsidP="00526222">
            <w:pPr>
              <w:spacing w:line="252" w:lineRule="auto"/>
              <w:ind w:left="44" w:right="62"/>
            </w:pPr>
            <w:r>
              <w:t>188</w:t>
            </w:r>
          </w:p>
        </w:tc>
        <w:tc>
          <w:tcPr>
            <w:tcW w:w="870" w:type="dxa"/>
            <w:tcBorders>
              <w:top w:val="nil"/>
              <w:left w:val="nil"/>
              <w:bottom w:val="nil"/>
              <w:right w:val="nil"/>
            </w:tcBorders>
            <w:shd w:val="clear" w:color="auto" w:fill="auto"/>
            <w:tcMar>
              <w:top w:w="0" w:type="dxa"/>
              <w:left w:w="108" w:type="dxa"/>
              <w:bottom w:w="0" w:type="dxa"/>
              <w:right w:w="108" w:type="dxa"/>
            </w:tcMar>
            <w:vAlign w:val="center"/>
          </w:tcPr>
          <w:p w:rsidR="00526222" w:rsidRPr="00C41C9C" w:rsidRDefault="009F1AE5" w:rsidP="00526222">
            <w:pPr>
              <w:spacing w:line="252" w:lineRule="auto"/>
              <w:ind w:right="-23"/>
            </w:pPr>
            <w:r>
              <w:t>212</w:t>
            </w:r>
          </w:p>
        </w:tc>
        <w:tc>
          <w:tcPr>
            <w:tcW w:w="1108" w:type="dxa"/>
            <w:tcBorders>
              <w:top w:val="nil"/>
              <w:left w:val="nil"/>
              <w:bottom w:val="nil"/>
              <w:right w:val="nil"/>
            </w:tcBorders>
            <w:shd w:val="clear" w:color="auto" w:fill="auto"/>
            <w:vAlign w:val="center"/>
          </w:tcPr>
          <w:p w:rsidR="00526222" w:rsidRPr="00C41C9C" w:rsidRDefault="009F1AE5" w:rsidP="00526222">
            <w:pPr>
              <w:spacing w:line="252" w:lineRule="auto"/>
              <w:ind w:right="445"/>
              <w:jc w:val="right"/>
            </w:pPr>
            <w:r>
              <w:t>12.8</w:t>
            </w:r>
            <w:r w:rsidR="00526222" w:rsidRPr="00C41C9C">
              <w:t>%</w:t>
            </w:r>
          </w:p>
        </w:tc>
      </w:tr>
      <w:tr w:rsidR="00526222" w:rsidRPr="00C41C9C" w:rsidTr="0038065B">
        <w:trPr>
          <w:gridAfter w:val="1"/>
          <w:wAfter w:w="123" w:type="dxa"/>
          <w:trHeight w:val="288"/>
        </w:trPr>
        <w:tc>
          <w:tcPr>
            <w:tcW w:w="171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rsidR="00526222" w:rsidRPr="00C41C9C" w:rsidRDefault="00526222" w:rsidP="00526222">
            <w:pPr>
              <w:spacing w:line="252" w:lineRule="auto"/>
              <w:ind w:left="62" w:right="100"/>
            </w:pPr>
            <w:r w:rsidRPr="00C41C9C">
              <w:t>Ozaukee</w:t>
            </w:r>
          </w:p>
        </w:tc>
        <w:tc>
          <w:tcPr>
            <w:tcW w:w="869"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rsidR="00526222" w:rsidRPr="00C41C9C" w:rsidRDefault="009F1AE5" w:rsidP="00526222">
            <w:pPr>
              <w:spacing w:line="252" w:lineRule="auto"/>
              <w:ind w:left="44" w:right="62"/>
            </w:pPr>
            <w:r>
              <w:t>131</w:t>
            </w:r>
          </w:p>
        </w:tc>
        <w:tc>
          <w:tcPr>
            <w:tcW w:w="87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rsidR="00526222" w:rsidRPr="00C41C9C" w:rsidRDefault="009F1AE5" w:rsidP="009F1AE5">
            <w:pPr>
              <w:spacing w:line="252" w:lineRule="auto"/>
              <w:ind w:right="-23"/>
            </w:pPr>
            <w:r>
              <w:t>168</w:t>
            </w:r>
          </w:p>
        </w:tc>
        <w:tc>
          <w:tcPr>
            <w:tcW w:w="1108" w:type="dxa"/>
            <w:tcBorders>
              <w:top w:val="nil"/>
              <w:left w:val="nil"/>
              <w:bottom w:val="single" w:sz="4" w:space="0" w:color="auto"/>
              <w:right w:val="nil"/>
            </w:tcBorders>
            <w:shd w:val="clear" w:color="auto" w:fill="DEEAF6" w:themeFill="accent1" w:themeFillTint="33"/>
            <w:vAlign w:val="center"/>
          </w:tcPr>
          <w:p w:rsidR="00526222" w:rsidRPr="00C41C9C" w:rsidRDefault="009F1AE5" w:rsidP="00526222">
            <w:pPr>
              <w:spacing w:line="252" w:lineRule="auto"/>
              <w:ind w:right="445"/>
              <w:jc w:val="right"/>
            </w:pPr>
            <w:r>
              <w:t>28.2</w:t>
            </w:r>
            <w:r w:rsidR="00526222" w:rsidRPr="00C41C9C">
              <w:t>%</w:t>
            </w:r>
          </w:p>
        </w:tc>
      </w:tr>
      <w:tr w:rsidR="00526222" w:rsidRPr="00C41C9C" w:rsidTr="0038065B">
        <w:trPr>
          <w:gridAfter w:val="1"/>
          <w:wAfter w:w="123" w:type="dxa"/>
          <w:trHeight w:val="288"/>
        </w:trPr>
        <w:tc>
          <w:tcPr>
            <w:tcW w:w="1710" w:type="dxa"/>
            <w:tcBorders>
              <w:top w:val="single" w:sz="4" w:space="0" w:color="auto"/>
              <w:left w:val="nil"/>
              <w:bottom w:val="nil"/>
              <w:right w:val="nil"/>
            </w:tcBorders>
            <w:shd w:val="clear" w:color="auto" w:fill="auto"/>
            <w:tcMar>
              <w:top w:w="0" w:type="dxa"/>
              <w:left w:w="108" w:type="dxa"/>
              <w:bottom w:w="0" w:type="dxa"/>
              <w:right w:w="108" w:type="dxa"/>
            </w:tcMar>
            <w:vAlign w:val="center"/>
            <w:hideMark/>
          </w:tcPr>
          <w:p w:rsidR="00526222" w:rsidRPr="00C41C9C" w:rsidRDefault="00526222" w:rsidP="00526222">
            <w:pPr>
              <w:spacing w:line="252" w:lineRule="auto"/>
              <w:ind w:left="62" w:right="100"/>
            </w:pPr>
            <w:r w:rsidRPr="00C41C9C">
              <w:t>4 County Area</w:t>
            </w:r>
          </w:p>
        </w:tc>
        <w:tc>
          <w:tcPr>
            <w:tcW w:w="869" w:type="dxa"/>
            <w:tcBorders>
              <w:top w:val="single" w:sz="4" w:space="0" w:color="auto"/>
              <w:left w:val="nil"/>
              <w:bottom w:val="nil"/>
              <w:right w:val="nil"/>
            </w:tcBorders>
            <w:shd w:val="clear" w:color="auto" w:fill="auto"/>
            <w:tcMar>
              <w:top w:w="0" w:type="dxa"/>
              <w:left w:w="108" w:type="dxa"/>
              <w:bottom w:w="0" w:type="dxa"/>
              <w:right w:w="108" w:type="dxa"/>
            </w:tcMar>
            <w:vAlign w:val="center"/>
          </w:tcPr>
          <w:p w:rsidR="00526222" w:rsidRPr="00C41C9C" w:rsidRDefault="009F1AE5" w:rsidP="00526222">
            <w:pPr>
              <w:spacing w:line="252" w:lineRule="auto"/>
              <w:ind w:left="44" w:right="62"/>
            </w:pPr>
            <w:r>
              <w:t>2,180</w:t>
            </w:r>
          </w:p>
        </w:tc>
        <w:tc>
          <w:tcPr>
            <w:tcW w:w="870" w:type="dxa"/>
            <w:tcBorders>
              <w:top w:val="single" w:sz="4" w:space="0" w:color="auto"/>
              <w:left w:val="nil"/>
              <w:bottom w:val="nil"/>
              <w:right w:val="nil"/>
            </w:tcBorders>
            <w:shd w:val="clear" w:color="auto" w:fill="auto"/>
            <w:tcMar>
              <w:top w:w="0" w:type="dxa"/>
              <w:left w:w="108" w:type="dxa"/>
              <w:bottom w:w="0" w:type="dxa"/>
              <w:right w:w="108" w:type="dxa"/>
            </w:tcMar>
            <w:vAlign w:val="center"/>
          </w:tcPr>
          <w:p w:rsidR="00526222" w:rsidRPr="00C41C9C" w:rsidRDefault="00526222" w:rsidP="009F1AE5">
            <w:pPr>
              <w:spacing w:line="252" w:lineRule="auto"/>
              <w:ind w:right="-23"/>
            </w:pPr>
            <w:r>
              <w:t>2,</w:t>
            </w:r>
            <w:r w:rsidR="009F1AE5">
              <w:t>263</w:t>
            </w:r>
          </w:p>
        </w:tc>
        <w:tc>
          <w:tcPr>
            <w:tcW w:w="1108" w:type="dxa"/>
            <w:tcBorders>
              <w:top w:val="single" w:sz="4" w:space="0" w:color="auto"/>
              <w:left w:val="nil"/>
              <w:bottom w:val="nil"/>
              <w:right w:val="nil"/>
            </w:tcBorders>
            <w:shd w:val="clear" w:color="auto" w:fill="auto"/>
            <w:vAlign w:val="center"/>
          </w:tcPr>
          <w:p w:rsidR="00526222" w:rsidRPr="00C41C9C" w:rsidRDefault="009F1AE5" w:rsidP="009F1AE5">
            <w:pPr>
              <w:spacing w:line="252" w:lineRule="auto"/>
              <w:ind w:right="445"/>
              <w:jc w:val="right"/>
            </w:pPr>
            <w:r>
              <w:t>3</w:t>
            </w:r>
            <w:r w:rsidR="00526222">
              <w:t>.</w:t>
            </w:r>
            <w:r>
              <w:t>8</w:t>
            </w:r>
            <w:r w:rsidR="00526222" w:rsidRPr="00C41C9C">
              <w:t>%</w:t>
            </w:r>
          </w:p>
        </w:tc>
      </w:tr>
      <w:tr w:rsidR="00526222" w:rsidRPr="00C41C9C" w:rsidTr="0038065B">
        <w:trPr>
          <w:gridAfter w:val="1"/>
          <w:wAfter w:w="123" w:type="dxa"/>
          <w:trHeight w:val="179"/>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26222" w:rsidRPr="00156337" w:rsidRDefault="00526222" w:rsidP="00526222">
            <w:pPr>
              <w:spacing w:line="252" w:lineRule="auto"/>
              <w:ind w:left="62" w:right="100"/>
              <w:rPr>
                <w:sz w:val="10"/>
                <w:szCs w:val="10"/>
              </w:rPr>
            </w:pPr>
          </w:p>
        </w:tc>
        <w:tc>
          <w:tcPr>
            <w:tcW w:w="86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26222" w:rsidRPr="00156337" w:rsidRDefault="00526222" w:rsidP="00526222">
            <w:pPr>
              <w:spacing w:line="252" w:lineRule="auto"/>
              <w:ind w:left="44" w:right="62"/>
              <w:rPr>
                <w:sz w:val="10"/>
                <w:szCs w:val="10"/>
              </w:rPr>
            </w:pPr>
          </w:p>
        </w:tc>
        <w:tc>
          <w:tcPr>
            <w:tcW w:w="87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26222" w:rsidRPr="00156337" w:rsidRDefault="00526222" w:rsidP="00526222">
            <w:pPr>
              <w:spacing w:line="252" w:lineRule="auto"/>
              <w:ind w:right="-23"/>
              <w:rPr>
                <w:sz w:val="10"/>
                <w:szCs w:val="10"/>
              </w:rPr>
            </w:pPr>
          </w:p>
        </w:tc>
        <w:tc>
          <w:tcPr>
            <w:tcW w:w="1108" w:type="dxa"/>
            <w:tcBorders>
              <w:top w:val="nil"/>
              <w:left w:val="nil"/>
              <w:bottom w:val="nil"/>
              <w:right w:val="nil"/>
            </w:tcBorders>
            <w:shd w:val="clear" w:color="auto" w:fill="DEEAF6" w:themeFill="accent1" w:themeFillTint="33"/>
            <w:vAlign w:val="center"/>
          </w:tcPr>
          <w:p w:rsidR="00526222" w:rsidRPr="00156337" w:rsidRDefault="00526222" w:rsidP="00526222">
            <w:pPr>
              <w:spacing w:line="252" w:lineRule="auto"/>
              <w:ind w:right="445"/>
              <w:jc w:val="right"/>
              <w:rPr>
                <w:sz w:val="10"/>
                <w:szCs w:val="10"/>
              </w:rPr>
            </w:pPr>
          </w:p>
        </w:tc>
      </w:tr>
      <w:tr w:rsidR="00526222" w:rsidRPr="00C41C9C" w:rsidTr="0038065B">
        <w:trPr>
          <w:gridAfter w:val="1"/>
          <w:wAfter w:w="123" w:type="dxa"/>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tcPr>
          <w:p w:rsidR="00526222" w:rsidRPr="00C41C9C" w:rsidRDefault="00526222" w:rsidP="00526222">
            <w:pPr>
              <w:spacing w:line="252" w:lineRule="auto"/>
              <w:ind w:left="62" w:right="100"/>
            </w:pPr>
            <w:r>
              <w:t>Racine</w:t>
            </w:r>
          </w:p>
        </w:tc>
        <w:tc>
          <w:tcPr>
            <w:tcW w:w="869" w:type="dxa"/>
            <w:tcBorders>
              <w:top w:val="nil"/>
              <w:left w:val="nil"/>
              <w:bottom w:val="nil"/>
              <w:right w:val="nil"/>
            </w:tcBorders>
            <w:shd w:val="clear" w:color="auto" w:fill="auto"/>
            <w:tcMar>
              <w:top w:w="0" w:type="dxa"/>
              <w:left w:w="108" w:type="dxa"/>
              <w:bottom w:w="0" w:type="dxa"/>
              <w:right w:w="108" w:type="dxa"/>
            </w:tcMar>
            <w:vAlign w:val="center"/>
          </w:tcPr>
          <w:p w:rsidR="00526222" w:rsidRDefault="009F1AE5" w:rsidP="00526222">
            <w:pPr>
              <w:spacing w:line="252" w:lineRule="auto"/>
              <w:ind w:left="44" w:right="62"/>
            </w:pPr>
            <w:r>
              <w:t>264</w:t>
            </w:r>
          </w:p>
        </w:tc>
        <w:tc>
          <w:tcPr>
            <w:tcW w:w="870" w:type="dxa"/>
            <w:tcBorders>
              <w:top w:val="nil"/>
              <w:left w:val="nil"/>
              <w:bottom w:val="nil"/>
              <w:right w:val="nil"/>
            </w:tcBorders>
            <w:shd w:val="clear" w:color="auto" w:fill="auto"/>
            <w:tcMar>
              <w:top w:w="0" w:type="dxa"/>
              <w:left w:w="108" w:type="dxa"/>
              <w:bottom w:w="0" w:type="dxa"/>
              <w:right w:w="108" w:type="dxa"/>
            </w:tcMar>
            <w:vAlign w:val="center"/>
          </w:tcPr>
          <w:p w:rsidR="00526222" w:rsidRDefault="009F1AE5" w:rsidP="00526222">
            <w:pPr>
              <w:spacing w:line="252" w:lineRule="auto"/>
              <w:ind w:right="-23"/>
            </w:pPr>
            <w:r>
              <w:t>266</w:t>
            </w:r>
          </w:p>
        </w:tc>
        <w:tc>
          <w:tcPr>
            <w:tcW w:w="1108" w:type="dxa"/>
            <w:tcBorders>
              <w:top w:val="nil"/>
              <w:left w:val="nil"/>
              <w:bottom w:val="nil"/>
              <w:right w:val="nil"/>
            </w:tcBorders>
            <w:shd w:val="clear" w:color="auto" w:fill="auto"/>
            <w:vAlign w:val="center"/>
          </w:tcPr>
          <w:p w:rsidR="00526222" w:rsidRDefault="009F1AE5" w:rsidP="00526222">
            <w:pPr>
              <w:spacing w:line="252" w:lineRule="auto"/>
              <w:ind w:right="445"/>
              <w:jc w:val="right"/>
            </w:pPr>
            <w:r>
              <w:t>0.8</w:t>
            </w:r>
            <w:r w:rsidR="00526222">
              <w:t>%</w:t>
            </w:r>
          </w:p>
        </w:tc>
      </w:tr>
      <w:tr w:rsidR="00526222" w:rsidRPr="00C41C9C" w:rsidTr="0038065B">
        <w:trPr>
          <w:gridAfter w:val="1"/>
          <w:wAfter w:w="123" w:type="dxa"/>
          <w:trHeight w:val="288"/>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26222" w:rsidRDefault="00526222" w:rsidP="00526222">
            <w:pPr>
              <w:spacing w:line="252" w:lineRule="auto"/>
              <w:ind w:left="62" w:right="100"/>
            </w:pPr>
            <w:r>
              <w:t>Kenosha</w:t>
            </w:r>
          </w:p>
        </w:tc>
        <w:tc>
          <w:tcPr>
            <w:tcW w:w="86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26222" w:rsidRDefault="009F1AE5" w:rsidP="00526222">
            <w:pPr>
              <w:spacing w:line="252" w:lineRule="auto"/>
              <w:ind w:left="44" w:right="62"/>
            </w:pPr>
            <w:r>
              <w:t>22</w:t>
            </w:r>
            <w:r w:rsidR="00526222">
              <w:t>2</w:t>
            </w:r>
          </w:p>
        </w:tc>
        <w:tc>
          <w:tcPr>
            <w:tcW w:w="87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26222" w:rsidRDefault="009F1AE5" w:rsidP="00526222">
            <w:pPr>
              <w:spacing w:line="252" w:lineRule="auto"/>
              <w:ind w:right="-23"/>
            </w:pPr>
            <w:r>
              <w:t>242</w:t>
            </w:r>
          </w:p>
        </w:tc>
        <w:tc>
          <w:tcPr>
            <w:tcW w:w="1108" w:type="dxa"/>
            <w:tcBorders>
              <w:top w:val="nil"/>
              <w:left w:val="nil"/>
              <w:bottom w:val="nil"/>
              <w:right w:val="nil"/>
            </w:tcBorders>
            <w:shd w:val="clear" w:color="auto" w:fill="DEEAF6" w:themeFill="accent1" w:themeFillTint="33"/>
            <w:vAlign w:val="center"/>
          </w:tcPr>
          <w:p w:rsidR="00526222" w:rsidRDefault="00526222" w:rsidP="009F1AE5">
            <w:pPr>
              <w:spacing w:line="252" w:lineRule="auto"/>
              <w:ind w:right="445"/>
              <w:jc w:val="right"/>
            </w:pPr>
            <w:r>
              <w:t>9.</w:t>
            </w:r>
            <w:r w:rsidR="009F1AE5">
              <w:t>0</w:t>
            </w:r>
            <w:r>
              <w:t>%</w:t>
            </w:r>
          </w:p>
        </w:tc>
      </w:tr>
      <w:tr w:rsidR="00526222" w:rsidRPr="00C41C9C" w:rsidTr="0038065B">
        <w:trPr>
          <w:gridAfter w:val="1"/>
          <w:wAfter w:w="123" w:type="dxa"/>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tcPr>
          <w:p w:rsidR="00526222" w:rsidRDefault="00526222" w:rsidP="00526222">
            <w:pPr>
              <w:spacing w:line="252" w:lineRule="auto"/>
              <w:ind w:left="62" w:right="100"/>
            </w:pPr>
            <w:r>
              <w:t>Walworth</w:t>
            </w:r>
          </w:p>
        </w:tc>
        <w:tc>
          <w:tcPr>
            <w:tcW w:w="869" w:type="dxa"/>
            <w:tcBorders>
              <w:top w:val="nil"/>
              <w:left w:val="nil"/>
              <w:bottom w:val="nil"/>
              <w:right w:val="nil"/>
            </w:tcBorders>
            <w:shd w:val="clear" w:color="auto" w:fill="auto"/>
            <w:tcMar>
              <w:top w:w="0" w:type="dxa"/>
              <w:left w:w="108" w:type="dxa"/>
              <w:bottom w:w="0" w:type="dxa"/>
              <w:right w:w="108" w:type="dxa"/>
            </w:tcMar>
            <w:vAlign w:val="center"/>
          </w:tcPr>
          <w:p w:rsidR="00526222" w:rsidRDefault="009F1AE5" w:rsidP="00526222">
            <w:pPr>
              <w:spacing w:line="252" w:lineRule="auto"/>
              <w:ind w:left="44" w:right="62"/>
            </w:pPr>
            <w:r>
              <w:t>192</w:t>
            </w:r>
          </w:p>
        </w:tc>
        <w:tc>
          <w:tcPr>
            <w:tcW w:w="870" w:type="dxa"/>
            <w:tcBorders>
              <w:top w:val="nil"/>
              <w:left w:val="nil"/>
              <w:bottom w:val="nil"/>
              <w:right w:val="nil"/>
            </w:tcBorders>
            <w:shd w:val="clear" w:color="auto" w:fill="auto"/>
            <w:tcMar>
              <w:top w:w="0" w:type="dxa"/>
              <w:left w:w="108" w:type="dxa"/>
              <w:bottom w:w="0" w:type="dxa"/>
              <w:right w:w="108" w:type="dxa"/>
            </w:tcMar>
            <w:vAlign w:val="center"/>
          </w:tcPr>
          <w:p w:rsidR="00526222" w:rsidRDefault="009F1AE5" w:rsidP="00526222">
            <w:pPr>
              <w:spacing w:line="252" w:lineRule="auto"/>
              <w:ind w:right="-23"/>
            </w:pPr>
            <w:r>
              <w:t>186</w:t>
            </w:r>
          </w:p>
        </w:tc>
        <w:tc>
          <w:tcPr>
            <w:tcW w:w="1108" w:type="dxa"/>
            <w:tcBorders>
              <w:top w:val="nil"/>
              <w:left w:val="nil"/>
              <w:bottom w:val="nil"/>
              <w:right w:val="nil"/>
            </w:tcBorders>
            <w:shd w:val="clear" w:color="auto" w:fill="auto"/>
            <w:vAlign w:val="center"/>
          </w:tcPr>
          <w:p w:rsidR="00526222" w:rsidRDefault="009F1AE5" w:rsidP="009F1AE5">
            <w:pPr>
              <w:spacing w:line="252" w:lineRule="auto"/>
              <w:ind w:right="445"/>
              <w:jc w:val="right"/>
            </w:pPr>
            <w:r>
              <w:t>-3</w:t>
            </w:r>
            <w:r w:rsidR="00526222">
              <w:t>.</w:t>
            </w:r>
            <w:r>
              <w:t>1</w:t>
            </w:r>
            <w:r w:rsidR="00526222">
              <w:t>%</w:t>
            </w:r>
          </w:p>
        </w:tc>
      </w:tr>
    </w:tbl>
    <w:p w:rsidR="005533BD" w:rsidRDefault="005533BD" w:rsidP="00D56814">
      <w:pPr>
        <w:spacing w:before="120" w:after="120"/>
        <w:ind w:left="-360" w:right="-360"/>
        <w:contextualSpacing/>
        <w:rPr>
          <w:sz w:val="24"/>
          <w:szCs w:val="24"/>
        </w:rPr>
      </w:pPr>
    </w:p>
    <w:p w:rsidR="00D56814" w:rsidRDefault="0043767C" w:rsidP="00D56814">
      <w:pPr>
        <w:spacing w:before="120" w:after="120"/>
        <w:ind w:left="-360" w:right="-360"/>
        <w:contextualSpacing/>
        <w:rPr>
          <w:sz w:val="24"/>
          <w:szCs w:val="24"/>
        </w:rPr>
      </w:pPr>
      <w:r>
        <w:rPr>
          <w:sz w:val="24"/>
          <w:szCs w:val="24"/>
        </w:rPr>
        <w:t>July was a very good month in the metropolitan area. All four counties had healthy sales.</w:t>
      </w:r>
      <w:r w:rsidR="00D56814" w:rsidRPr="00D56814">
        <w:rPr>
          <w:sz w:val="24"/>
          <w:szCs w:val="24"/>
        </w:rPr>
        <w:t xml:space="preserve"> </w:t>
      </w:r>
      <w:r w:rsidR="00884390">
        <w:rPr>
          <w:sz w:val="24"/>
          <w:szCs w:val="24"/>
        </w:rPr>
        <w:t>73</w:t>
      </w:r>
      <w:r w:rsidR="00D56814">
        <w:rPr>
          <w:sz w:val="24"/>
          <w:szCs w:val="24"/>
        </w:rPr>
        <w:t>% of sales occurred within 30 days of a home being listed (</w:t>
      </w:r>
      <w:r w:rsidR="00884390">
        <w:rPr>
          <w:sz w:val="24"/>
          <w:szCs w:val="24"/>
        </w:rPr>
        <w:t>88</w:t>
      </w:r>
      <w:r w:rsidR="00D56814">
        <w:rPr>
          <w:sz w:val="24"/>
          <w:szCs w:val="24"/>
        </w:rPr>
        <w:t>% within 60 days), and most of those</w:t>
      </w:r>
      <w:r w:rsidR="00884390">
        <w:rPr>
          <w:sz w:val="24"/>
          <w:szCs w:val="24"/>
        </w:rPr>
        <w:t>, 69</w:t>
      </w:r>
      <w:r w:rsidR="00D56814">
        <w:rPr>
          <w:sz w:val="24"/>
          <w:szCs w:val="24"/>
        </w:rPr>
        <w:t>%, were priced under $300K</w:t>
      </w:r>
      <w:r w:rsidR="00D56814">
        <w:rPr>
          <w:sz w:val="24"/>
          <w:szCs w:val="24"/>
        </w:rPr>
        <w:t>.</w:t>
      </w:r>
    </w:p>
    <w:p w:rsidR="0043767C" w:rsidRDefault="0043767C" w:rsidP="00637D71">
      <w:pPr>
        <w:spacing w:before="120" w:after="120"/>
        <w:ind w:left="-360" w:right="-360"/>
        <w:contextualSpacing/>
        <w:rPr>
          <w:sz w:val="24"/>
          <w:szCs w:val="24"/>
        </w:rPr>
      </w:pPr>
    </w:p>
    <w:p w:rsidR="0043767C" w:rsidRDefault="0043767C" w:rsidP="00637D71">
      <w:pPr>
        <w:spacing w:before="120" w:after="120"/>
        <w:ind w:left="-360" w:right="-360"/>
        <w:contextualSpacing/>
        <w:rPr>
          <w:sz w:val="24"/>
          <w:szCs w:val="24"/>
        </w:rPr>
      </w:pPr>
      <w:r>
        <w:rPr>
          <w:sz w:val="24"/>
          <w:szCs w:val="24"/>
        </w:rPr>
        <w:t xml:space="preserve">Given the </w:t>
      </w:r>
      <w:r w:rsidR="00884390">
        <w:rPr>
          <w:sz w:val="24"/>
          <w:szCs w:val="24"/>
        </w:rPr>
        <w:t xml:space="preserve">strong </w:t>
      </w:r>
      <w:r>
        <w:rPr>
          <w:sz w:val="24"/>
          <w:szCs w:val="24"/>
        </w:rPr>
        <w:t>regional economy – low unemployment,</w:t>
      </w:r>
      <w:r w:rsidR="00D56814">
        <w:rPr>
          <w:sz w:val="24"/>
          <w:szCs w:val="24"/>
        </w:rPr>
        <w:t xml:space="preserve"> household growth,</w:t>
      </w:r>
      <w:r>
        <w:rPr>
          <w:sz w:val="24"/>
          <w:szCs w:val="24"/>
        </w:rPr>
        <w:t xml:space="preserve"> </w:t>
      </w:r>
      <w:proofErr w:type="gramStart"/>
      <w:r>
        <w:rPr>
          <w:sz w:val="24"/>
          <w:szCs w:val="24"/>
        </w:rPr>
        <w:t>low</w:t>
      </w:r>
      <w:proofErr w:type="gramEnd"/>
      <w:r>
        <w:rPr>
          <w:sz w:val="24"/>
          <w:szCs w:val="24"/>
        </w:rPr>
        <w:t xml:space="preserve"> interest rates – it’s no surprise there was healthy demand for homes by those seeking them. </w:t>
      </w:r>
    </w:p>
    <w:p w:rsidR="00D56814" w:rsidRDefault="00D56814" w:rsidP="00637D71">
      <w:pPr>
        <w:spacing w:before="120" w:after="120"/>
        <w:ind w:left="-360" w:right="-360"/>
        <w:contextualSpacing/>
        <w:rPr>
          <w:sz w:val="24"/>
          <w:szCs w:val="24"/>
        </w:rPr>
      </w:pPr>
    </w:p>
    <w:p w:rsidR="00D56814" w:rsidRDefault="00D56814" w:rsidP="00637D71">
      <w:pPr>
        <w:spacing w:before="120" w:after="120"/>
        <w:ind w:left="-360" w:right="-360"/>
        <w:contextualSpacing/>
        <w:rPr>
          <w:sz w:val="24"/>
          <w:szCs w:val="24"/>
        </w:rPr>
      </w:pPr>
      <w:r>
        <w:rPr>
          <w:sz w:val="24"/>
          <w:szCs w:val="24"/>
        </w:rPr>
        <w:t>While the market is clearly leaning in favor of sellers, many buyers are pushing back and not accepting sellers’ “take it or leave it” attitude. Multiple offers have slowed slightly, and, therefore, buyers are making counter demands. And, properties must be in good, “move in” condition to attract good quality buyers.</w:t>
      </w:r>
    </w:p>
    <w:p w:rsidR="0043767C" w:rsidRDefault="0043767C" w:rsidP="00637D71">
      <w:pPr>
        <w:spacing w:before="120" w:after="120"/>
        <w:ind w:left="-360" w:right="-360"/>
        <w:contextualSpacing/>
        <w:rPr>
          <w:sz w:val="24"/>
          <w:szCs w:val="24"/>
        </w:rPr>
      </w:pPr>
    </w:p>
    <w:tbl>
      <w:tblPr>
        <w:tblpPr w:leftFromText="180" w:rightFromText="180" w:vertAnchor="text" w:horzAnchor="margin" w:tblpX="-360" w:tblpY="305"/>
        <w:tblW w:w="5519" w:type="dxa"/>
        <w:tblLook w:val="04A0" w:firstRow="1" w:lastRow="0" w:firstColumn="1" w:lastColumn="0" w:noHBand="0" w:noVBand="1"/>
      </w:tblPr>
      <w:tblGrid>
        <w:gridCol w:w="839"/>
        <w:gridCol w:w="936"/>
        <w:gridCol w:w="936"/>
        <w:gridCol w:w="936"/>
        <w:gridCol w:w="936"/>
        <w:gridCol w:w="936"/>
      </w:tblGrid>
      <w:tr w:rsidR="00F858D3" w:rsidRPr="00C47808" w:rsidTr="00F858D3">
        <w:trPr>
          <w:trHeight w:val="20"/>
        </w:trPr>
        <w:tc>
          <w:tcPr>
            <w:tcW w:w="5519" w:type="dxa"/>
            <w:gridSpan w:val="6"/>
            <w:vAlign w:val="center"/>
          </w:tcPr>
          <w:p w:rsidR="00F858D3" w:rsidRDefault="00F858D3" w:rsidP="00F858D3">
            <w:pPr>
              <w:rPr>
                <w:rFonts w:ascii="Arial" w:eastAsia="Times New Roman" w:hAnsi="Arial" w:cs="Arial"/>
                <w:b/>
                <w:bCs/>
                <w:sz w:val="20"/>
                <w:szCs w:val="20"/>
              </w:rPr>
            </w:pPr>
          </w:p>
        </w:tc>
      </w:tr>
      <w:tr w:rsidR="00F858D3" w:rsidRPr="00C47808" w:rsidTr="00F858D3">
        <w:trPr>
          <w:trHeight w:val="315"/>
        </w:trPr>
        <w:tc>
          <w:tcPr>
            <w:tcW w:w="5519" w:type="dxa"/>
            <w:gridSpan w:val="6"/>
            <w:vAlign w:val="center"/>
          </w:tcPr>
          <w:p w:rsidR="00F858D3" w:rsidRPr="00C47808" w:rsidRDefault="00F858D3" w:rsidP="00F858D3">
            <w:pPr>
              <w:rPr>
                <w:rFonts w:ascii="Arial" w:eastAsia="Times New Roman" w:hAnsi="Arial" w:cs="Arial"/>
                <w:b/>
                <w:bCs/>
                <w:sz w:val="20"/>
                <w:szCs w:val="20"/>
              </w:rPr>
            </w:pPr>
            <w:r>
              <w:rPr>
                <w:rFonts w:ascii="Arial" w:eastAsia="Times New Roman" w:hAnsi="Arial" w:cs="Arial"/>
                <w:b/>
                <w:bCs/>
                <w:sz w:val="20"/>
                <w:szCs w:val="20"/>
              </w:rPr>
              <w:t>Midyear Sales</w:t>
            </w:r>
          </w:p>
        </w:tc>
      </w:tr>
      <w:tr w:rsidR="00F858D3" w:rsidRPr="00C47808" w:rsidTr="00F858D3">
        <w:trPr>
          <w:trHeight w:val="138"/>
        </w:trPr>
        <w:tc>
          <w:tcPr>
            <w:tcW w:w="839" w:type="dxa"/>
            <w:shd w:val="clear" w:color="auto" w:fill="1F4E79" w:themeFill="accent1" w:themeFillShade="80"/>
            <w:vAlign w:val="center"/>
          </w:tcPr>
          <w:p w:rsidR="00F858D3" w:rsidRPr="00C47808" w:rsidRDefault="00F858D3" w:rsidP="00F858D3">
            <w:pPr>
              <w:jc w:val="center"/>
              <w:rPr>
                <w:rFonts w:eastAsia="Times New Roman" w:cs="Arial"/>
                <w:bCs/>
                <w:color w:val="FFFFFF" w:themeColor="background1"/>
              </w:rPr>
            </w:pPr>
            <w:r w:rsidRPr="00C47808">
              <w:rPr>
                <w:rFonts w:eastAsia="Times New Roman" w:cs="Arial"/>
                <w:b/>
                <w:bCs/>
                <w:color w:val="FFFFFF" w:themeColor="background1"/>
              </w:rPr>
              <w:t>Month</w:t>
            </w:r>
          </w:p>
        </w:tc>
        <w:tc>
          <w:tcPr>
            <w:tcW w:w="936" w:type="dxa"/>
            <w:shd w:val="clear" w:color="auto" w:fill="1F4E79" w:themeFill="accent1" w:themeFillShade="80"/>
            <w:noWrap/>
            <w:vAlign w:val="center"/>
            <w:hideMark/>
          </w:tcPr>
          <w:p w:rsidR="00F858D3" w:rsidRPr="00C47808" w:rsidRDefault="00F858D3" w:rsidP="00F858D3">
            <w:pPr>
              <w:jc w:val="center"/>
              <w:rPr>
                <w:rFonts w:eastAsia="Times New Roman" w:cs="Arial"/>
                <w:b/>
                <w:bCs/>
                <w:color w:val="FFFFFF" w:themeColor="background1"/>
              </w:rPr>
            </w:pPr>
            <w:r w:rsidRPr="00C47808">
              <w:rPr>
                <w:rFonts w:eastAsia="Times New Roman" w:cs="Arial"/>
                <w:b/>
                <w:bCs/>
                <w:color w:val="FFFFFF" w:themeColor="background1"/>
              </w:rPr>
              <w:t>2015</w:t>
            </w:r>
          </w:p>
        </w:tc>
        <w:tc>
          <w:tcPr>
            <w:tcW w:w="936" w:type="dxa"/>
            <w:shd w:val="clear" w:color="auto" w:fill="1F4E79" w:themeFill="accent1" w:themeFillShade="80"/>
            <w:noWrap/>
            <w:vAlign w:val="center"/>
            <w:hideMark/>
          </w:tcPr>
          <w:p w:rsidR="00F858D3" w:rsidRPr="00C47808" w:rsidRDefault="00F858D3" w:rsidP="00F858D3">
            <w:pPr>
              <w:jc w:val="center"/>
              <w:rPr>
                <w:rFonts w:eastAsia="Times New Roman" w:cs="Arial"/>
                <w:b/>
                <w:bCs/>
                <w:color w:val="FFFFFF" w:themeColor="background1"/>
              </w:rPr>
            </w:pPr>
            <w:r w:rsidRPr="00C47808">
              <w:rPr>
                <w:rFonts w:eastAsia="Times New Roman" w:cs="Arial"/>
                <w:b/>
                <w:bCs/>
                <w:color w:val="FFFFFF" w:themeColor="background1"/>
              </w:rPr>
              <w:t>2016</w:t>
            </w:r>
          </w:p>
        </w:tc>
        <w:tc>
          <w:tcPr>
            <w:tcW w:w="936" w:type="dxa"/>
            <w:shd w:val="clear" w:color="auto" w:fill="1F4E79" w:themeFill="accent1" w:themeFillShade="80"/>
            <w:noWrap/>
            <w:vAlign w:val="center"/>
            <w:hideMark/>
          </w:tcPr>
          <w:p w:rsidR="00F858D3" w:rsidRPr="00C47808" w:rsidRDefault="00F858D3" w:rsidP="00F858D3">
            <w:pPr>
              <w:jc w:val="center"/>
              <w:rPr>
                <w:rFonts w:eastAsia="Times New Roman" w:cs="Arial"/>
                <w:b/>
                <w:bCs/>
                <w:color w:val="FFFFFF" w:themeColor="background1"/>
              </w:rPr>
            </w:pPr>
            <w:r w:rsidRPr="00C47808">
              <w:rPr>
                <w:rFonts w:eastAsia="Times New Roman" w:cs="Arial"/>
                <w:b/>
                <w:bCs/>
                <w:color w:val="FFFFFF" w:themeColor="background1"/>
              </w:rPr>
              <w:t>2017</w:t>
            </w:r>
          </w:p>
        </w:tc>
        <w:tc>
          <w:tcPr>
            <w:tcW w:w="936" w:type="dxa"/>
            <w:shd w:val="clear" w:color="auto" w:fill="1F4E79" w:themeFill="accent1" w:themeFillShade="80"/>
            <w:noWrap/>
            <w:vAlign w:val="center"/>
            <w:hideMark/>
          </w:tcPr>
          <w:p w:rsidR="00F858D3" w:rsidRPr="00C47808" w:rsidRDefault="00F858D3" w:rsidP="00F858D3">
            <w:pPr>
              <w:jc w:val="center"/>
              <w:rPr>
                <w:rFonts w:eastAsia="Times New Roman" w:cs="Arial"/>
                <w:b/>
                <w:bCs/>
                <w:color w:val="FFFFFF" w:themeColor="background1"/>
              </w:rPr>
            </w:pPr>
            <w:r w:rsidRPr="00C47808">
              <w:rPr>
                <w:rFonts w:eastAsia="Times New Roman" w:cs="Arial"/>
                <w:b/>
                <w:bCs/>
                <w:color w:val="FFFFFF" w:themeColor="background1"/>
              </w:rPr>
              <w:t>2018</w:t>
            </w:r>
          </w:p>
        </w:tc>
        <w:tc>
          <w:tcPr>
            <w:tcW w:w="936" w:type="dxa"/>
            <w:shd w:val="clear" w:color="auto" w:fill="1F4E79" w:themeFill="accent1" w:themeFillShade="80"/>
            <w:noWrap/>
            <w:vAlign w:val="center"/>
            <w:hideMark/>
          </w:tcPr>
          <w:p w:rsidR="00F858D3" w:rsidRPr="00C47808" w:rsidRDefault="00F858D3" w:rsidP="00F858D3">
            <w:pPr>
              <w:jc w:val="center"/>
              <w:rPr>
                <w:rFonts w:eastAsia="Times New Roman" w:cs="Arial"/>
                <w:b/>
                <w:bCs/>
                <w:color w:val="FFFFFF" w:themeColor="background1"/>
              </w:rPr>
            </w:pPr>
            <w:r w:rsidRPr="00C47808">
              <w:rPr>
                <w:rFonts w:eastAsia="Times New Roman" w:cs="Arial"/>
                <w:b/>
                <w:bCs/>
                <w:color w:val="FFFFFF" w:themeColor="background1"/>
              </w:rPr>
              <w:t>2019</w:t>
            </w:r>
          </w:p>
        </w:tc>
      </w:tr>
      <w:tr w:rsidR="00F858D3" w:rsidRPr="00C47808" w:rsidTr="00F858D3">
        <w:trPr>
          <w:trHeight w:val="315"/>
        </w:trPr>
        <w:tc>
          <w:tcPr>
            <w:tcW w:w="839" w:type="dxa"/>
            <w:shd w:val="clear" w:color="auto" w:fill="auto"/>
            <w:vAlign w:val="center"/>
          </w:tcPr>
          <w:p w:rsidR="00F858D3" w:rsidRPr="00C47808" w:rsidRDefault="00F858D3" w:rsidP="00F858D3">
            <w:pPr>
              <w:rPr>
                <w:rFonts w:eastAsia="Times New Roman" w:cs="Times New Roman"/>
                <w:color w:val="000000"/>
              </w:rPr>
            </w:pPr>
            <w:r>
              <w:rPr>
                <w:rFonts w:eastAsia="Times New Roman" w:cs="Times New Roman"/>
                <w:color w:val="000000"/>
              </w:rPr>
              <w:t>May</w:t>
            </w:r>
          </w:p>
        </w:tc>
        <w:tc>
          <w:tcPr>
            <w:tcW w:w="936" w:type="dxa"/>
            <w:shd w:val="clear" w:color="auto" w:fill="auto"/>
            <w:noWrap/>
            <w:vAlign w:val="bottom"/>
            <w:hideMark/>
          </w:tcPr>
          <w:p w:rsidR="00F858D3" w:rsidRPr="00C47808" w:rsidRDefault="003D65E7" w:rsidP="003D65E7">
            <w:pPr>
              <w:jc w:val="right"/>
              <w:rPr>
                <w:rFonts w:eastAsia="Times New Roman" w:cs="Times New Roman"/>
                <w:color w:val="000000"/>
              </w:rPr>
            </w:pPr>
            <w:r>
              <w:rPr>
                <w:rFonts w:eastAsia="Times New Roman" w:cs="Times New Roman"/>
                <w:color w:val="000000"/>
              </w:rPr>
              <w:t>1</w:t>
            </w:r>
            <w:r w:rsidR="00F858D3">
              <w:rPr>
                <w:rFonts w:eastAsia="Times New Roman" w:cs="Times New Roman"/>
                <w:color w:val="000000"/>
              </w:rPr>
              <w:t>,</w:t>
            </w:r>
            <w:r>
              <w:rPr>
                <w:rFonts w:eastAsia="Times New Roman" w:cs="Times New Roman"/>
                <w:color w:val="000000"/>
              </w:rPr>
              <w:t>880</w:t>
            </w:r>
          </w:p>
        </w:tc>
        <w:tc>
          <w:tcPr>
            <w:tcW w:w="936" w:type="dxa"/>
            <w:shd w:val="clear" w:color="auto" w:fill="auto"/>
            <w:noWrap/>
            <w:vAlign w:val="bottom"/>
            <w:hideMark/>
          </w:tcPr>
          <w:p w:rsidR="00F858D3" w:rsidRPr="00C47808" w:rsidRDefault="00F858D3" w:rsidP="003D65E7">
            <w:pPr>
              <w:jc w:val="right"/>
              <w:rPr>
                <w:rFonts w:eastAsia="Times New Roman" w:cs="Times New Roman"/>
                <w:color w:val="000000"/>
              </w:rPr>
            </w:pPr>
            <w:r w:rsidRPr="00C47808">
              <w:rPr>
                <w:rFonts w:eastAsia="Times New Roman" w:cs="Times New Roman"/>
                <w:color w:val="000000"/>
              </w:rPr>
              <w:t>2</w:t>
            </w:r>
            <w:r>
              <w:rPr>
                <w:rFonts w:eastAsia="Times New Roman" w:cs="Times New Roman"/>
                <w:color w:val="000000"/>
              </w:rPr>
              <w:t>,</w:t>
            </w:r>
            <w:r w:rsidR="003D65E7">
              <w:rPr>
                <w:rFonts w:eastAsia="Times New Roman" w:cs="Times New Roman"/>
                <w:color w:val="000000"/>
              </w:rPr>
              <w:t>111</w:t>
            </w:r>
          </w:p>
        </w:tc>
        <w:tc>
          <w:tcPr>
            <w:tcW w:w="936" w:type="dxa"/>
            <w:shd w:val="clear" w:color="auto" w:fill="auto"/>
            <w:noWrap/>
            <w:vAlign w:val="bottom"/>
            <w:hideMark/>
          </w:tcPr>
          <w:p w:rsidR="00F858D3" w:rsidRPr="00C47808" w:rsidRDefault="003D65E7" w:rsidP="003D65E7">
            <w:pPr>
              <w:jc w:val="right"/>
              <w:rPr>
                <w:rFonts w:eastAsia="Times New Roman" w:cs="Times New Roman"/>
                <w:color w:val="000000"/>
              </w:rPr>
            </w:pPr>
            <w:r>
              <w:rPr>
                <w:rFonts w:eastAsia="Times New Roman" w:cs="Times New Roman"/>
                <w:color w:val="000000"/>
              </w:rPr>
              <w:t>2</w:t>
            </w:r>
            <w:r w:rsidR="00F858D3">
              <w:rPr>
                <w:rFonts w:eastAsia="Times New Roman" w:cs="Times New Roman"/>
                <w:color w:val="000000"/>
              </w:rPr>
              <w:t>,</w:t>
            </w:r>
            <w:r>
              <w:rPr>
                <w:rFonts w:eastAsia="Times New Roman" w:cs="Times New Roman"/>
                <w:color w:val="000000"/>
              </w:rPr>
              <w:t>179</w:t>
            </w:r>
          </w:p>
        </w:tc>
        <w:tc>
          <w:tcPr>
            <w:tcW w:w="936" w:type="dxa"/>
            <w:shd w:val="clear" w:color="auto" w:fill="auto"/>
            <w:noWrap/>
            <w:vAlign w:val="bottom"/>
            <w:hideMark/>
          </w:tcPr>
          <w:p w:rsidR="00F858D3" w:rsidRPr="00C47808" w:rsidRDefault="00F858D3" w:rsidP="00F858D3">
            <w:pPr>
              <w:jc w:val="right"/>
              <w:rPr>
                <w:rFonts w:eastAsia="Times New Roman" w:cs="Times New Roman"/>
                <w:color w:val="000000"/>
              </w:rPr>
            </w:pPr>
            <w:r w:rsidRPr="00C47808">
              <w:rPr>
                <w:rFonts w:eastAsia="Times New Roman" w:cs="Times New Roman"/>
                <w:color w:val="000000"/>
              </w:rPr>
              <w:t>2</w:t>
            </w:r>
            <w:r>
              <w:rPr>
                <w:rFonts w:eastAsia="Times New Roman" w:cs="Times New Roman"/>
                <w:color w:val="000000"/>
              </w:rPr>
              <w:t>,</w:t>
            </w:r>
            <w:r w:rsidR="003D65E7">
              <w:rPr>
                <w:rFonts w:eastAsia="Times New Roman" w:cs="Times New Roman"/>
                <w:color w:val="000000"/>
              </w:rPr>
              <w:t>121</w:t>
            </w:r>
          </w:p>
        </w:tc>
        <w:tc>
          <w:tcPr>
            <w:tcW w:w="936" w:type="dxa"/>
            <w:shd w:val="clear" w:color="auto" w:fill="auto"/>
            <w:noWrap/>
            <w:vAlign w:val="bottom"/>
            <w:hideMark/>
          </w:tcPr>
          <w:p w:rsidR="00F858D3" w:rsidRPr="00C47808" w:rsidRDefault="00F858D3" w:rsidP="00F858D3">
            <w:pPr>
              <w:jc w:val="right"/>
              <w:rPr>
                <w:rFonts w:eastAsia="Times New Roman" w:cs="Times New Roman"/>
                <w:color w:val="000000"/>
              </w:rPr>
            </w:pPr>
            <w:r w:rsidRPr="00C47808">
              <w:rPr>
                <w:rFonts w:eastAsia="Times New Roman" w:cs="Times New Roman"/>
                <w:color w:val="000000"/>
              </w:rPr>
              <w:t>2</w:t>
            </w:r>
            <w:r>
              <w:rPr>
                <w:rFonts w:eastAsia="Times New Roman" w:cs="Times New Roman"/>
                <w:color w:val="000000"/>
              </w:rPr>
              <w:t>,</w:t>
            </w:r>
            <w:r w:rsidR="003D65E7">
              <w:rPr>
                <w:rFonts w:eastAsia="Times New Roman" w:cs="Times New Roman"/>
                <w:color w:val="000000"/>
              </w:rPr>
              <w:t>136</w:t>
            </w:r>
          </w:p>
        </w:tc>
      </w:tr>
      <w:tr w:rsidR="00F858D3" w:rsidRPr="00C47808" w:rsidTr="00F858D3">
        <w:trPr>
          <w:trHeight w:val="315"/>
        </w:trPr>
        <w:tc>
          <w:tcPr>
            <w:tcW w:w="839" w:type="dxa"/>
            <w:shd w:val="clear" w:color="auto" w:fill="DEEAF6" w:themeFill="accent1" w:themeFillTint="33"/>
            <w:vAlign w:val="center"/>
          </w:tcPr>
          <w:p w:rsidR="00F858D3" w:rsidRPr="00C47808" w:rsidRDefault="00F858D3" w:rsidP="00F858D3">
            <w:pPr>
              <w:rPr>
                <w:rFonts w:eastAsia="Times New Roman" w:cs="Times New Roman"/>
                <w:color w:val="000000"/>
              </w:rPr>
            </w:pPr>
            <w:r>
              <w:rPr>
                <w:rFonts w:eastAsia="Times New Roman" w:cs="Times New Roman"/>
                <w:color w:val="000000"/>
              </w:rPr>
              <w:t>June</w:t>
            </w:r>
          </w:p>
        </w:tc>
        <w:tc>
          <w:tcPr>
            <w:tcW w:w="936" w:type="dxa"/>
            <w:shd w:val="clear" w:color="auto" w:fill="DEEAF6" w:themeFill="accent1" w:themeFillTint="33"/>
            <w:noWrap/>
            <w:vAlign w:val="bottom"/>
            <w:hideMark/>
          </w:tcPr>
          <w:p w:rsidR="00F858D3" w:rsidRPr="00C47808" w:rsidRDefault="00F858D3" w:rsidP="003D65E7">
            <w:pPr>
              <w:jc w:val="right"/>
              <w:rPr>
                <w:rFonts w:eastAsia="Times New Roman" w:cs="Times New Roman"/>
                <w:color w:val="000000"/>
              </w:rPr>
            </w:pPr>
            <w:r w:rsidRPr="00C47808">
              <w:rPr>
                <w:rFonts w:eastAsia="Times New Roman" w:cs="Times New Roman"/>
                <w:color w:val="000000"/>
              </w:rPr>
              <w:t>2</w:t>
            </w:r>
            <w:r>
              <w:rPr>
                <w:rFonts w:eastAsia="Times New Roman" w:cs="Times New Roman"/>
                <w:color w:val="000000"/>
              </w:rPr>
              <w:t>,</w:t>
            </w:r>
            <w:r w:rsidR="003D65E7">
              <w:rPr>
                <w:rFonts w:eastAsia="Times New Roman" w:cs="Times New Roman"/>
                <w:color w:val="000000"/>
              </w:rPr>
              <w:t>370</w:t>
            </w:r>
          </w:p>
        </w:tc>
        <w:tc>
          <w:tcPr>
            <w:tcW w:w="936" w:type="dxa"/>
            <w:shd w:val="clear" w:color="auto" w:fill="DEEAF6" w:themeFill="accent1" w:themeFillTint="33"/>
            <w:noWrap/>
            <w:vAlign w:val="bottom"/>
            <w:hideMark/>
          </w:tcPr>
          <w:p w:rsidR="00F858D3" w:rsidRPr="00C47808" w:rsidRDefault="003D65E7" w:rsidP="00F858D3">
            <w:pPr>
              <w:jc w:val="right"/>
              <w:rPr>
                <w:rFonts w:eastAsia="Times New Roman" w:cs="Times New Roman"/>
                <w:color w:val="000000"/>
              </w:rPr>
            </w:pPr>
            <w:r>
              <w:rPr>
                <w:rFonts w:eastAsia="Times New Roman" w:cs="Times New Roman"/>
                <w:color w:val="000000"/>
              </w:rPr>
              <w:t>2</w:t>
            </w:r>
            <w:r w:rsidR="00F858D3">
              <w:rPr>
                <w:rFonts w:eastAsia="Times New Roman" w:cs="Times New Roman"/>
                <w:color w:val="000000"/>
              </w:rPr>
              <w:t>,</w:t>
            </w:r>
            <w:r>
              <w:rPr>
                <w:rFonts w:eastAsia="Times New Roman" w:cs="Times New Roman"/>
                <w:color w:val="000000"/>
              </w:rPr>
              <w:t>497</w:t>
            </w:r>
          </w:p>
        </w:tc>
        <w:tc>
          <w:tcPr>
            <w:tcW w:w="936" w:type="dxa"/>
            <w:shd w:val="clear" w:color="auto" w:fill="DEEAF6" w:themeFill="accent1" w:themeFillTint="33"/>
            <w:noWrap/>
            <w:vAlign w:val="bottom"/>
            <w:hideMark/>
          </w:tcPr>
          <w:p w:rsidR="00F858D3" w:rsidRPr="00C47808" w:rsidRDefault="00F858D3" w:rsidP="00F858D3">
            <w:pPr>
              <w:jc w:val="right"/>
              <w:rPr>
                <w:rFonts w:eastAsia="Times New Roman" w:cs="Times New Roman"/>
                <w:color w:val="000000"/>
              </w:rPr>
            </w:pPr>
            <w:r w:rsidRPr="00C47808">
              <w:rPr>
                <w:rFonts w:eastAsia="Times New Roman" w:cs="Times New Roman"/>
                <w:color w:val="000000"/>
              </w:rPr>
              <w:t>2</w:t>
            </w:r>
            <w:r>
              <w:rPr>
                <w:rFonts w:eastAsia="Times New Roman" w:cs="Times New Roman"/>
                <w:color w:val="000000"/>
              </w:rPr>
              <w:t>,</w:t>
            </w:r>
            <w:r w:rsidR="003D65E7">
              <w:rPr>
                <w:rFonts w:eastAsia="Times New Roman" w:cs="Times New Roman"/>
                <w:color w:val="000000"/>
              </w:rPr>
              <w:t>590</w:t>
            </w:r>
          </w:p>
        </w:tc>
        <w:tc>
          <w:tcPr>
            <w:tcW w:w="936" w:type="dxa"/>
            <w:shd w:val="clear" w:color="auto" w:fill="DEEAF6" w:themeFill="accent1" w:themeFillTint="33"/>
            <w:noWrap/>
            <w:vAlign w:val="bottom"/>
            <w:hideMark/>
          </w:tcPr>
          <w:p w:rsidR="00F858D3" w:rsidRPr="00C47808" w:rsidRDefault="00F858D3" w:rsidP="00F858D3">
            <w:pPr>
              <w:jc w:val="right"/>
              <w:rPr>
                <w:rFonts w:eastAsia="Times New Roman" w:cs="Times New Roman"/>
                <w:color w:val="000000"/>
              </w:rPr>
            </w:pPr>
            <w:r w:rsidRPr="00C47808">
              <w:rPr>
                <w:rFonts w:eastAsia="Times New Roman" w:cs="Times New Roman"/>
                <w:color w:val="000000"/>
              </w:rPr>
              <w:t>2</w:t>
            </w:r>
            <w:r>
              <w:rPr>
                <w:rFonts w:eastAsia="Times New Roman" w:cs="Times New Roman"/>
                <w:color w:val="000000"/>
              </w:rPr>
              <w:t>,</w:t>
            </w:r>
            <w:r w:rsidR="003D65E7">
              <w:rPr>
                <w:rFonts w:eastAsia="Times New Roman" w:cs="Times New Roman"/>
                <w:color w:val="000000"/>
              </w:rPr>
              <w:t>369</w:t>
            </w:r>
          </w:p>
        </w:tc>
        <w:tc>
          <w:tcPr>
            <w:tcW w:w="936" w:type="dxa"/>
            <w:shd w:val="clear" w:color="auto" w:fill="DEEAF6" w:themeFill="accent1" w:themeFillTint="33"/>
            <w:noWrap/>
            <w:vAlign w:val="bottom"/>
            <w:hideMark/>
          </w:tcPr>
          <w:p w:rsidR="00F858D3" w:rsidRPr="00C47808" w:rsidRDefault="00F858D3" w:rsidP="00F858D3">
            <w:pPr>
              <w:jc w:val="right"/>
              <w:rPr>
                <w:rFonts w:eastAsia="Times New Roman" w:cs="Times New Roman"/>
                <w:color w:val="000000"/>
              </w:rPr>
            </w:pPr>
            <w:r w:rsidRPr="00C47808">
              <w:rPr>
                <w:rFonts w:eastAsia="Times New Roman" w:cs="Times New Roman"/>
                <w:color w:val="000000"/>
              </w:rPr>
              <w:t>2</w:t>
            </w:r>
            <w:r>
              <w:rPr>
                <w:rFonts w:eastAsia="Times New Roman" w:cs="Times New Roman"/>
                <w:color w:val="000000"/>
              </w:rPr>
              <w:t>,</w:t>
            </w:r>
            <w:r w:rsidR="003D65E7">
              <w:rPr>
                <w:rFonts w:eastAsia="Times New Roman" w:cs="Times New Roman"/>
                <w:color w:val="000000"/>
              </w:rPr>
              <w:t>232</w:t>
            </w:r>
          </w:p>
        </w:tc>
      </w:tr>
      <w:tr w:rsidR="00F858D3" w:rsidRPr="00C47808" w:rsidTr="00F858D3">
        <w:trPr>
          <w:trHeight w:val="315"/>
        </w:trPr>
        <w:tc>
          <w:tcPr>
            <w:tcW w:w="839" w:type="dxa"/>
            <w:shd w:val="clear" w:color="auto" w:fill="auto"/>
            <w:vAlign w:val="center"/>
          </w:tcPr>
          <w:p w:rsidR="00F858D3" w:rsidRPr="00C47808" w:rsidRDefault="00F858D3" w:rsidP="00F858D3">
            <w:pPr>
              <w:rPr>
                <w:rFonts w:eastAsia="Times New Roman" w:cs="Times New Roman"/>
                <w:color w:val="000000"/>
              </w:rPr>
            </w:pPr>
            <w:r>
              <w:rPr>
                <w:rFonts w:eastAsia="Times New Roman" w:cs="Times New Roman"/>
                <w:color w:val="000000"/>
              </w:rPr>
              <w:t>July</w:t>
            </w:r>
          </w:p>
        </w:tc>
        <w:tc>
          <w:tcPr>
            <w:tcW w:w="936" w:type="dxa"/>
            <w:tcBorders>
              <w:bottom w:val="single" w:sz="4" w:space="0" w:color="auto"/>
            </w:tcBorders>
            <w:shd w:val="clear" w:color="auto" w:fill="auto"/>
            <w:noWrap/>
            <w:vAlign w:val="bottom"/>
            <w:hideMark/>
          </w:tcPr>
          <w:p w:rsidR="00F858D3" w:rsidRPr="00C47808" w:rsidRDefault="00F858D3" w:rsidP="00F858D3">
            <w:pPr>
              <w:jc w:val="right"/>
              <w:rPr>
                <w:rFonts w:eastAsia="Times New Roman" w:cs="Times New Roman"/>
                <w:color w:val="000000"/>
              </w:rPr>
            </w:pPr>
            <w:r w:rsidRPr="00C47808">
              <w:rPr>
                <w:rFonts w:eastAsia="Times New Roman" w:cs="Times New Roman"/>
                <w:color w:val="000000"/>
              </w:rPr>
              <w:t>2</w:t>
            </w:r>
            <w:r>
              <w:rPr>
                <w:rFonts w:eastAsia="Times New Roman" w:cs="Times New Roman"/>
                <w:color w:val="000000"/>
              </w:rPr>
              <w:t>,</w:t>
            </w:r>
            <w:r w:rsidR="003D65E7">
              <w:rPr>
                <w:rFonts w:eastAsia="Times New Roman" w:cs="Times New Roman"/>
                <w:color w:val="000000"/>
              </w:rPr>
              <w:t>199</w:t>
            </w:r>
          </w:p>
        </w:tc>
        <w:tc>
          <w:tcPr>
            <w:tcW w:w="936" w:type="dxa"/>
            <w:tcBorders>
              <w:bottom w:val="single" w:sz="4" w:space="0" w:color="auto"/>
            </w:tcBorders>
            <w:shd w:val="clear" w:color="auto" w:fill="auto"/>
            <w:noWrap/>
            <w:vAlign w:val="bottom"/>
            <w:hideMark/>
          </w:tcPr>
          <w:p w:rsidR="00F858D3" w:rsidRPr="00C47808" w:rsidRDefault="00F858D3" w:rsidP="00F858D3">
            <w:pPr>
              <w:jc w:val="right"/>
              <w:rPr>
                <w:rFonts w:eastAsia="Times New Roman" w:cs="Times New Roman"/>
                <w:color w:val="000000"/>
              </w:rPr>
            </w:pPr>
            <w:r w:rsidRPr="00C47808">
              <w:rPr>
                <w:rFonts w:eastAsia="Times New Roman" w:cs="Times New Roman"/>
                <w:color w:val="000000"/>
              </w:rPr>
              <w:t>2</w:t>
            </w:r>
            <w:r>
              <w:rPr>
                <w:rFonts w:eastAsia="Times New Roman" w:cs="Times New Roman"/>
                <w:color w:val="000000"/>
              </w:rPr>
              <w:t>,</w:t>
            </w:r>
            <w:r w:rsidR="003D65E7">
              <w:rPr>
                <w:rFonts w:eastAsia="Times New Roman" w:cs="Times New Roman"/>
                <w:color w:val="000000"/>
              </w:rPr>
              <w:t>197</w:t>
            </w:r>
          </w:p>
        </w:tc>
        <w:tc>
          <w:tcPr>
            <w:tcW w:w="936" w:type="dxa"/>
            <w:tcBorders>
              <w:bottom w:val="single" w:sz="4" w:space="0" w:color="auto"/>
            </w:tcBorders>
            <w:shd w:val="clear" w:color="auto" w:fill="auto"/>
            <w:noWrap/>
            <w:vAlign w:val="bottom"/>
            <w:hideMark/>
          </w:tcPr>
          <w:p w:rsidR="00F858D3" w:rsidRPr="00C47808" w:rsidRDefault="00F858D3" w:rsidP="00F858D3">
            <w:pPr>
              <w:jc w:val="right"/>
              <w:rPr>
                <w:rFonts w:eastAsia="Times New Roman" w:cs="Times New Roman"/>
                <w:color w:val="000000"/>
              </w:rPr>
            </w:pPr>
            <w:r w:rsidRPr="00C47808">
              <w:rPr>
                <w:rFonts w:eastAsia="Times New Roman" w:cs="Times New Roman"/>
                <w:color w:val="000000"/>
              </w:rPr>
              <w:t>2</w:t>
            </w:r>
            <w:r>
              <w:rPr>
                <w:rFonts w:eastAsia="Times New Roman" w:cs="Times New Roman"/>
                <w:color w:val="000000"/>
              </w:rPr>
              <w:t>,</w:t>
            </w:r>
            <w:r w:rsidR="003D65E7">
              <w:rPr>
                <w:rFonts w:eastAsia="Times New Roman" w:cs="Times New Roman"/>
                <w:color w:val="000000"/>
              </w:rPr>
              <w:t>082</w:t>
            </w:r>
          </w:p>
        </w:tc>
        <w:tc>
          <w:tcPr>
            <w:tcW w:w="936" w:type="dxa"/>
            <w:tcBorders>
              <w:bottom w:val="single" w:sz="4" w:space="0" w:color="auto"/>
            </w:tcBorders>
            <w:shd w:val="clear" w:color="auto" w:fill="auto"/>
            <w:noWrap/>
            <w:vAlign w:val="bottom"/>
            <w:hideMark/>
          </w:tcPr>
          <w:p w:rsidR="00F858D3" w:rsidRPr="00C47808" w:rsidRDefault="00F858D3" w:rsidP="00F858D3">
            <w:pPr>
              <w:jc w:val="right"/>
              <w:rPr>
                <w:rFonts w:eastAsia="Times New Roman" w:cs="Times New Roman"/>
                <w:color w:val="000000"/>
              </w:rPr>
            </w:pPr>
            <w:r w:rsidRPr="00C47808">
              <w:rPr>
                <w:rFonts w:eastAsia="Times New Roman" w:cs="Times New Roman"/>
                <w:color w:val="000000"/>
              </w:rPr>
              <w:t>2</w:t>
            </w:r>
            <w:r>
              <w:rPr>
                <w:rFonts w:eastAsia="Times New Roman" w:cs="Times New Roman"/>
                <w:color w:val="000000"/>
              </w:rPr>
              <w:t>,</w:t>
            </w:r>
            <w:r w:rsidR="003D65E7">
              <w:rPr>
                <w:rFonts w:eastAsia="Times New Roman" w:cs="Times New Roman"/>
                <w:color w:val="000000"/>
              </w:rPr>
              <w:t>180</w:t>
            </w:r>
          </w:p>
        </w:tc>
        <w:tc>
          <w:tcPr>
            <w:tcW w:w="936" w:type="dxa"/>
            <w:tcBorders>
              <w:bottom w:val="single" w:sz="4" w:space="0" w:color="auto"/>
            </w:tcBorders>
            <w:shd w:val="clear" w:color="auto" w:fill="auto"/>
            <w:noWrap/>
            <w:vAlign w:val="bottom"/>
            <w:hideMark/>
          </w:tcPr>
          <w:p w:rsidR="00F858D3" w:rsidRPr="00C47808" w:rsidRDefault="00F858D3" w:rsidP="003D65E7">
            <w:pPr>
              <w:jc w:val="right"/>
              <w:rPr>
                <w:rFonts w:eastAsia="Times New Roman" w:cs="Times New Roman"/>
                <w:color w:val="000000"/>
              </w:rPr>
            </w:pPr>
            <w:r w:rsidRPr="00C47808">
              <w:rPr>
                <w:rFonts w:eastAsia="Times New Roman" w:cs="Times New Roman"/>
                <w:color w:val="000000"/>
              </w:rPr>
              <w:t>2</w:t>
            </w:r>
            <w:r>
              <w:rPr>
                <w:rFonts w:eastAsia="Times New Roman" w:cs="Times New Roman"/>
                <w:color w:val="000000"/>
              </w:rPr>
              <w:t>,</w:t>
            </w:r>
            <w:r w:rsidR="008A6861">
              <w:rPr>
                <w:rFonts w:eastAsia="Times New Roman" w:cs="Times New Roman"/>
                <w:color w:val="000000"/>
              </w:rPr>
              <w:t>263</w:t>
            </w:r>
          </w:p>
        </w:tc>
      </w:tr>
      <w:tr w:rsidR="00F858D3" w:rsidRPr="00C47808" w:rsidTr="00F858D3">
        <w:trPr>
          <w:trHeight w:val="315"/>
        </w:trPr>
        <w:tc>
          <w:tcPr>
            <w:tcW w:w="839" w:type="dxa"/>
            <w:shd w:val="clear" w:color="auto" w:fill="DEEAF6" w:themeFill="accent1" w:themeFillTint="33"/>
          </w:tcPr>
          <w:p w:rsidR="00F858D3" w:rsidRPr="00C47808" w:rsidRDefault="00F858D3" w:rsidP="00F858D3">
            <w:pPr>
              <w:jc w:val="right"/>
              <w:rPr>
                <w:rFonts w:eastAsia="Times New Roman" w:cs="Times New Roman"/>
                <w:color w:val="000000"/>
              </w:rPr>
            </w:pPr>
          </w:p>
        </w:tc>
        <w:tc>
          <w:tcPr>
            <w:tcW w:w="936" w:type="dxa"/>
            <w:tcBorders>
              <w:top w:val="single" w:sz="4" w:space="0" w:color="auto"/>
            </w:tcBorders>
            <w:shd w:val="clear" w:color="auto" w:fill="DEEAF6" w:themeFill="accent1" w:themeFillTint="33"/>
            <w:noWrap/>
            <w:vAlign w:val="bottom"/>
            <w:hideMark/>
          </w:tcPr>
          <w:p w:rsidR="00F858D3" w:rsidRPr="00C47808" w:rsidRDefault="003D65E7" w:rsidP="003D65E7">
            <w:pPr>
              <w:jc w:val="right"/>
              <w:rPr>
                <w:rFonts w:eastAsia="Times New Roman" w:cs="Times New Roman"/>
                <w:color w:val="000000"/>
              </w:rPr>
            </w:pPr>
            <w:r>
              <w:rPr>
                <w:rFonts w:eastAsia="Times New Roman" w:cs="Times New Roman"/>
                <w:color w:val="000000"/>
              </w:rPr>
              <w:t>6</w:t>
            </w:r>
            <w:r w:rsidR="00F858D3">
              <w:rPr>
                <w:rFonts w:eastAsia="Times New Roman" w:cs="Times New Roman"/>
                <w:color w:val="000000"/>
              </w:rPr>
              <w:t>,</w:t>
            </w:r>
            <w:r>
              <w:rPr>
                <w:rFonts w:eastAsia="Times New Roman" w:cs="Times New Roman"/>
                <w:color w:val="000000"/>
              </w:rPr>
              <w:t>449</w:t>
            </w:r>
          </w:p>
        </w:tc>
        <w:tc>
          <w:tcPr>
            <w:tcW w:w="936" w:type="dxa"/>
            <w:tcBorders>
              <w:top w:val="single" w:sz="4" w:space="0" w:color="auto"/>
            </w:tcBorders>
            <w:shd w:val="clear" w:color="auto" w:fill="DEEAF6" w:themeFill="accent1" w:themeFillTint="33"/>
            <w:noWrap/>
            <w:vAlign w:val="bottom"/>
            <w:hideMark/>
          </w:tcPr>
          <w:p w:rsidR="00F858D3" w:rsidRPr="00C47808" w:rsidRDefault="003D65E7" w:rsidP="003D65E7">
            <w:pPr>
              <w:jc w:val="right"/>
              <w:rPr>
                <w:rFonts w:eastAsia="Times New Roman" w:cs="Times New Roman"/>
                <w:color w:val="000000"/>
              </w:rPr>
            </w:pPr>
            <w:r>
              <w:rPr>
                <w:rFonts w:eastAsia="Times New Roman" w:cs="Times New Roman"/>
                <w:color w:val="000000"/>
              </w:rPr>
              <w:t>6</w:t>
            </w:r>
            <w:r w:rsidR="00F858D3">
              <w:rPr>
                <w:rFonts w:eastAsia="Times New Roman" w:cs="Times New Roman"/>
                <w:color w:val="000000"/>
              </w:rPr>
              <w:t>,</w:t>
            </w:r>
            <w:r>
              <w:rPr>
                <w:rFonts w:eastAsia="Times New Roman" w:cs="Times New Roman"/>
                <w:color w:val="000000"/>
              </w:rPr>
              <w:t>805</w:t>
            </w:r>
          </w:p>
        </w:tc>
        <w:tc>
          <w:tcPr>
            <w:tcW w:w="936" w:type="dxa"/>
            <w:tcBorders>
              <w:top w:val="single" w:sz="4" w:space="0" w:color="auto"/>
            </w:tcBorders>
            <w:shd w:val="clear" w:color="auto" w:fill="DEEAF6" w:themeFill="accent1" w:themeFillTint="33"/>
            <w:noWrap/>
            <w:vAlign w:val="bottom"/>
            <w:hideMark/>
          </w:tcPr>
          <w:p w:rsidR="00F858D3" w:rsidRPr="00C47808" w:rsidRDefault="003D65E7" w:rsidP="00F858D3">
            <w:pPr>
              <w:jc w:val="right"/>
              <w:rPr>
                <w:rFonts w:eastAsia="Times New Roman" w:cs="Times New Roman"/>
                <w:color w:val="000000"/>
              </w:rPr>
            </w:pPr>
            <w:r>
              <w:rPr>
                <w:rFonts w:eastAsia="Times New Roman" w:cs="Times New Roman"/>
                <w:color w:val="000000"/>
              </w:rPr>
              <w:t>6</w:t>
            </w:r>
            <w:r w:rsidR="00F858D3">
              <w:rPr>
                <w:rFonts w:eastAsia="Times New Roman" w:cs="Times New Roman"/>
                <w:color w:val="000000"/>
              </w:rPr>
              <w:t>,</w:t>
            </w:r>
            <w:r>
              <w:rPr>
                <w:rFonts w:eastAsia="Times New Roman" w:cs="Times New Roman"/>
                <w:color w:val="000000"/>
              </w:rPr>
              <w:t>851</w:t>
            </w:r>
          </w:p>
        </w:tc>
        <w:tc>
          <w:tcPr>
            <w:tcW w:w="936" w:type="dxa"/>
            <w:tcBorders>
              <w:top w:val="single" w:sz="4" w:space="0" w:color="auto"/>
            </w:tcBorders>
            <w:shd w:val="clear" w:color="auto" w:fill="DEEAF6" w:themeFill="accent1" w:themeFillTint="33"/>
            <w:noWrap/>
            <w:vAlign w:val="bottom"/>
            <w:hideMark/>
          </w:tcPr>
          <w:p w:rsidR="00F858D3" w:rsidRPr="00C47808" w:rsidRDefault="003D65E7" w:rsidP="003D65E7">
            <w:pPr>
              <w:jc w:val="right"/>
              <w:rPr>
                <w:rFonts w:eastAsia="Times New Roman" w:cs="Times New Roman"/>
                <w:color w:val="000000"/>
              </w:rPr>
            </w:pPr>
            <w:r>
              <w:rPr>
                <w:rFonts w:eastAsia="Times New Roman" w:cs="Times New Roman"/>
                <w:color w:val="000000"/>
              </w:rPr>
              <w:t>6</w:t>
            </w:r>
            <w:r w:rsidR="00F858D3">
              <w:rPr>
                <w:rFonts w:eastAsia="Times New Roman" w:cs="Times New Roman"/>
                <w:color w:val="000000"/>
              </w:rPr>
              <w:t>,</w:t>
            </w:r>
            <w:r>
              <w:rPr>
                <w:rFonts w:eastAsia="Times New Roman" w:cs="Times New Roman"/>
                <w:color w:val="000000"/>
              </w:rPr>
              <w:t>670</w:t>
            </w:r>
          </w:p>
        </w:tc>
        <w:tc>
          <w:tcPr>
            <w:tcW w:w="936" w:type="dxa"/>
            <w:tcBorders>
              <w:top w:val="single" w:sz="4" w:space="0" w:color="auto"/>
            </w:tcBorders>
            <w:shd w:val="clear" w:color="auto" w:fill="DEEAF6" w:themeFill="accent1" w:themeFillTint="33"/>
            <w:noWrap/>
            <w:vAlign w:val="bottom"/>
            <w:hideMark/>
          </w:tcPr>
          <w:p w:rsidR="00F858D3" w:rsidRPr="00C47808" w:rsidRDefault="003D65E7" w:rsidP="003D65E7">
            <w:pPr>
              <w:jc w:val="right"/>
              <w:rPr>
                <w:rFonts w:eastAsia="Times New Roman" w:cs="Times New Roman"/>
                <w:color w:val="000000"/>
              </w:rPr>
            </w:pPr>
            <w:r>
              <w:rPr>
                <w:rFonts w:eastAsia="Times New Roman" w:cs="Times New Roman"/>
                <w:color w:val="000000"/>
              </w:rPr>
              <w:t>6</w:t>
            </w:r>
            <w:r w:rsidR="00F858D3">
              <w:rPr>
                <w:rFonts w:eastAsia="Times New Roman" w:cs="Times New Roman"/>
                <w:color w:val="000000"/>
              </w:rPr>
              <w:t>,</w:t>
            </w:r>
            <w:r>
              <w:rPr>
                <w:rFonts w:eastAsia="Times New Roman" w:cs="Times New Roman"/>
                <w:color w:val="000000"/>
              </w:rPr>
              <w:t>63</w:t>
            </w:r>
            <w:r w:rsidR="00F858D3" w:rsidRPr="00C47808">
              <w:rPr>
                <w:rFonts w:eastAsia="Times New Roman" w:cs="Times New Roman"/>
                <w:color w:val="000000"/>
              </w:rPr>
              <w:t>1</w:t>
            </w:r>
          </w:p>
        </w:tc>
      </w:tr>
    </w:tbl>
    <w:p w:rsidR="008A6861" w:rsidRDefault="0043767C" w:rsidP="00637D71">
      <w:pPr>
        <w:spacing w:before="120" w:after="120"/>
        <w:ind w:left="-360" w:right="-360"/>
        <w:contextualSpacing/>
        <w:rPr>
          <w:sz w:val="24"/>
          <w:szCs w:val="24"/>
        </w:rPr>
      </w:pPr>
      <w:r>
        <w:rPr>
          <w:sz w:val="24"/>
          <w:szCs w:val="24"/>
        </w:rPr>
        <w:t>May, June and July are typically the hi</w:t>
      </w:r>
      <w:r w:rsidR="008A6861">
        <w:rPr>
          <w:sz w:val="24"/>
          <w:szCs w:val="24"/>
        </w:rPr>
        <w:t>ghest sales months of the year, and the last five years were the highest sales period this century. Despite 2019’s sales being 0.6% behind 2018, 2019 is part of a very strong run for home sales.</w:t>
      </w:r>
    </w:p>
    <w:p w:rsidR="008A6861" w:rsidRDefault="008A6861" w:rsidP="00637D71">
      <w:pPr>
        <w:spacing w:before="120" w:after="120"/>
        <w:ind w:left="-360" w:right="-360"/>
        <w:contextualSpacing/>
        <w:rPr>
          <w:sz w:val="24"/>
          <w:szCs w:val="24"/>
        </w:rPr>
      </w:pPr>
    </w:p>
    <w:p w:rsidR="008A6861" w:rsidRDefault="005533BD" w:rsidP="00637D71">
      <w:pPr>
        <w:spacing w:before="120" w:after="120"/>
        <w:ind w:left="-360" w:right="-360"/>
        <w:contextualSpacing/>
        <w:rPr>
          <w:sz w:val="24"/>
          <w:szCs w:val="24"/>
        </w:rPr>
      </w:pPr>
      <w:r>
        <w:rPr>
          <w:sz w:val="24"/>
          <w:szCs w:val="24"/>
        </w:rPr>
        <w:t xml:space="preserve">There are too many macro-economic factors at play (i.e. international trade) to make a determination as to whether the market will </w:t>
      </w:r>
      <w:r>
        <w:rPr>
          <w:sz w:val="24"/>
          <w:szCs w:val="24"/>
        </w:rPr>
        <w:lastRenderedPageBreak/>
        <w:t>trail off further or continue at a high level</w:t>
      </w:r>
      <w:r>
        <w:rPr>
          <w:sz w:val="24"/>
          <w:szCs w:val="24"/>
        </w:rPr>
        <w:t xml:space="preserve"> in 2020. Currently, the infrastructure is present to continue at the current pace.</w:t>
      </w:r>
    </w:p>
    <w:p w:rsidR="008A6861" w:rsidRDefault="008A6861" w:rsidP="00637D71">
      <w:pPr>
        <w:spacing w:before="120" w:after="120"/>
        <w:ind w:left="-360" w:right="-360"/>
        <w:contextualSpacing/>
        <w:rPr>
          <w:sz w:val="24"/>
          <w:szCs w:val="24"/>
        </w:rPr>
      </w:pPr>
    </w:p>
    <w:p w:rsidR="000561A4" w:rsidRDefault="000561A4" w:rsidP="00637D71">
      <w:pPr>
        <w:spacing w:before="120" w:after="120"/>
        <w:ind w:left="-360" w:right="-360"/>
        <w:contextualSpacing/>
        <w:rPr>
          <w:sz w:val="24"/>
          <w:szCs w:val="24"/>
        </w:rPr>
      </w:pPr>
      <w:r>
        <w:rPr>
          <w:sz w:val="24"/>
          <w:szCs w:val="24"/>
        </w:rPr>
        <w:t xml:space="preserve">We do know that these sales numbers would be higher </w:t>
      </w:r>
      <w:r w:rsidR="00884390">
        <w:rPr>
          <w:sz w:val="24"/>
          <w:szCs w:val="24"/>
        </w:rPr>
        <w:t xml:space="preserve">(and there would be more happy buyers) </w:t>
      </w:r>
      <w:bookmarkStart w:id="1" w:name="_GoBack"/>
      <w:bookmarkEnd w:id="1"/>
      <w:r>
        <w:rPr>
          <w:sz w:val="24"/>
          <w:szCs w:val="24"/>
        </w:rPr>
        <w:t>if there were an adequate supply of single-family and condominium units in the market.</w:t>
      </w:r>
    </w:p>
    <w:p w:rsidR="007D5D49" w:rsidRDefault="007D5D49" w:rsidP="007D5D49">
      <w:pPr>
        <w:spacing w:before="120" w:after="120"/>
        <w:ind w:left="-360" w:right="-360"/>
        <w:contextualSpacing/>
        <w:rPr>
          <w:sz w:val="24"/>
          <w:szCs w:val="24"/>
        </w:rPr>
      </w:pPr>
    </w:p>
    <w:p w:rsidR="007D5D49" w:rsidRDefault="00FA213D" w:rsidP="007D5D49">
      <w:pPr>
        <w:spacing w:before="120" w:after="120"/>
        <w:ind w:left="-360" w:right="-360"/>
        <w:contextualSpacing/>
        <w:rPr>
          <w:sz w:val="24"/>
          <w:szCs w:val="24"/>
        </w:rPr>
      </w:pPr>
      <w:r>
        <w:rPr>
          <w:sz w:val="24"/>
          <w:szCs w:val="24"/>
        </w:rPr>
        <w:t>For the last few years, resources have been allocated to apartment development, tying up labor and material</w:t>
      </w:r>
      <w:r w:rsidR="007D5D49">
        <w:rPr>
          <w:sz w:val="24"/>
          <w:szCs w:val="24"/>
        </w:rPr>
        <w:t>s</w:t>
      </w:r>
      <w:r>
        <w:rPr>
          <w:sz w:val="24"/>
          <w:szCs w:val="24"/>
        </w:rPr>
        <w:t xml:space="preserve"> </w:t>
      </w:r>
      <w:r w:rsidR="007D5D49">
        <w:rPr>
          <w:sz w:val="24"/>
          <w:szCs w:val="24"/>
        </w:rPr>
        <w:t xml:space="preserve">that could be used to alleviate the demand for single-family and condominium units in the region. </w:t>
      </w:r>
    </w:p>
    <w:p w:rsidR="007D5D49" w:rsidRDefault="007D5D49" w:rsidP="007D5D49">
      <w:pPr>
        <w:spacing w:before="120" w:after="120"/>
        <w:ind w:left="-360" w:right="-360"/>
        <w:contextualSpacing/>
        <w:rPr>
          <w:sz w:val="24"/>
          <w:szCs w:val="24"/>
        </w:rPr>
      </w:pPr>
    </w:p>
    <w:p w:rsidR="003F6C47" w:rsidRDefault="007D5D49" w:rsidP="007D5D49">
      <w:pPr>
        <w:spacing w:before="120" w:after="120"/>
        <w:ind w:left="-360" w:right="-360"/>
        <w:contextualSpacing/>
        <w:rPr>
          <w:sz w:val="24"/>
          <w:szCs w:val="24"/>
        </w:rPr>
      </w:pPr>
      <w:r>
        <w:rPr>
          <w:sz w:val="24"/>
          <w:szCs w:val="24"/>
        </w:rPr>
        <w:t>Additionally, many communities are missing the quality of life enhancements that homeownership provides – long-term community engagement, building wealth via property ownership, etc.</w:t>
      </w:r>
    </w:p>
    <w:p w:rsidR="00526222" w:rsidRDefault="00526222" w:rsidP="00AF3EAF">
      <w:pPr>
        <w:spacing w:before="120" w:after="120"/>
        <w:ind w:left="-360" w:right="-360"/>
        <w:contextualSpacing/>
        <w:rPr>
          <w:sz w:val="24"/>
          <w:szCs w:val="24"/>
        </w:rPr>
      </w:pPr>
    </w:p>
    <w:p w:rsidR="00AF3EAF" w:rsidRDefault="00156337" w:rsidP="00AF3EAF">
      <w:pPr>
        <w:spacing w:before="120" w:after="120"/>
        <w:ind w:left="-360" w:right="-360"/>
        <w:contextualSpacing/>
        <w:rPr>
          <w:sz w:val="24"/>
          <w:szCs w:val="24"/>
        </w:rPr>
      </w:pPr>
      <w:r w:rsidRPr="00156337">
        <w:rPr>
          <w:b/>
          <w:sz w:val="24"/>
          <w:szCs w:val="24"/>
          <w:u w:val="single"/>
        </w:rPr>
        <w:t>Listings</w:t>
      </w:r>
      <w:r w:rsidR="00AF3EAF" w:rsidRPr="00AF3EAF">
        <w:rPr>
          <w:sz w:val="24"/>
          <w:szCs w:val="24"/>
        </w:rPr>
        <w:t xml:space="preserve"> </w:t>
      </w:r>
    </w:p>
    <w:p w:rsidR="00063605" w:rsidRDefault="005533BD" w:rsidP="000561A4">
      <w:pPr>
        <w:spacing w:before="120" w:after="120"/>
        <w:ind w:left="-360" w:right="-360"/>
        <w:contextualSpacing/>
        <w:rPr>
          <w:sz w:val="24"/>
          <w:szCs w:val="24"/>
        </w:rPr>
      </w:pPr>
      <w:r>
        <w:rPr>
          <w:sz w:val="24"/>
          <w:szCs w:val="24"/>
        </w:rPr>
        <w:t xml:space="preserve">Listings were up across the board in the 4 county area for the second month in a row in July, and the fourth time so far in 2019. </w:t>
      </w:r>
      <w:r w:rsidR="00D11FFF">
        <w:rPr>
          <w:sz w:val="24"/>
          <w:szCs w:val="24"/>
        </w:rPr>
        <w:t xml:space="preserve"> </w:t>
      </w:r>
      <w:r w:rsidR="000561A4">
        <w:rPr>
          <w:sz w:val="24"/>
          <w:szCs w:val="24"/>
        </w:rPr>
        <w:t>Nonetheless, listings are still not adequate to meet supply.</w:t>
      </w:r>
    </w:p>
    <w:tbl>
      <w:tblPr>
        <w:tblpPr w:leftFromText="180" w:rightFromText="180" w:bottomFromText="115" w:vertAnchor="text" w:horzAnchor="margin" w:tblpX="-360" w:tblpY="36"/>
        <w:tblW w:w="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0"/>
        <w:gridCol w:w="900"/>
        <w:gridCol w:w="810"/>
        <w:gridCol w:w="1170"/>
      </w:tblGrid>
      <w:tr w:rsidR="007D5D49" w:rsidRPr="00C41C9C" w:rsidTr="007D5D49">
        <w:trPr>
          <w:trHeight w:val="432"/>
        </w:trPr>
        <w:tc>
          <w:tcPr>
            <w:tcW w:w="4590" w:type="dxa"/>
            <w:gridSpan w:val="4"/>
            <w:tcBorders>
              <w:top w:val="nil"/>
              <w:left w:val="nil"/>
              <w:bottom w:val="nil"/>
              <w:right w:val="nil"/>
            </w:tcBorders>
            <w:shd w:val="clear" w:color="auto" w:fill="auto"/>
            <w:tcMar>
              <w:top w:w="0" w:type="dxa"/>
              <w:left w:w="108" w:type="dxa"/>
              <w:bottom w:w="0" w:type="dxa"/>
              <w:right w:w="108" w:type="dxa"/>
            </w:tcMar>
            <w:vAlign w:val="center"/>
            <w:hideMark/>
          </w:tcPr>
          <w:p w:rsidR="007D5D49" w:rsidRPr="00754FD0" w:rsidRDefault="00831BE0" w:rsidP="007D5D49">
            <w:pPr>
              <w:spacing w:line="252" w:lineRule="auto"/>
              <w:ind w:left="-108" w:right="85"/>
              <w:rPr>
                <w:rFonts w:ascii="Arial Narrow" w:hAnsi="Arial Narrow"/>
                <w:b/>
                <w:sz w:val="24"/>
                <w:szCs w:val="24"/>
              </w:rPr>
            </w:pPr>
            <w:r>
              <w:rPr>
                <w:rFonts w:ascii="Arial Narrow" w:hAnsi="Arial Narrow"/>
                <w:b/>
                <w:sz w:val="24"/>
                <w:szCs w:val="24"/>
              </w:rPr>
              <w:t>July</w:t>
            </w:r>
            <w:r w:rsidR="007D5D49" w:rsidRPr="00754FD0">
              <w:rPr>
                <w:rFonts w:ascii="Arial Narrow" w:hAnsi="Arial Narrow"/>
                <w:b/>
                <w:sz w:val="24"/>
                <w:szCs w:val="24"/>
              </w:rPr>
              <w:t xml:space="preserve"> </w:t>
            </w:r>
            <w:r w:rsidR="007D5D49">
              <w:rPr>
                <w:rFonts w:ascii="Arial Narrow" w:hAnsi="Arial Narrow"/>
                <w:b/>
                <w:sz w:val="24"/>
                <w:szCs w:val="24"/>
              </w:rPr>
              <w:t>Listings</w:t>
            </w:r>
          </w:p>
        </w:tc>
      </w:tr>
      <w:tr w:rsidR="007D5D49" w:rsidRPr="00C41C9C" w:rsidTr="007D5D49">
        <w:trPr>
          <w:trHeight w:val="288"/>
        </w:trPr>
        <w:tc>
          <w:tcPr>
            <w:tcW w:w="1710" w:type="dxa"/>
            <w:tcBorders>
              <w:top w:val="single" w:sz="12" w:space="0" w:color="FFFFFF" w:themeColor="background1"/>
              <w:left w:val="nil"/>
              <w:bottom w:val="nil"/>
              <w:right w:val="single" w:sz="12" w:space="0" w:color="FFFFFF" w:themeColor="background1"/>
            </w:tcBorders>
            <w:shd w:val="clear" w:color="auto" w:fill="1F4E79" w:themeFill="accent1" w:themeFillShade="80"/>
            <w:vAlign w:val="center"/>
            <w:hideMark/>
          </w:tcPr>
          <w:p w:rsidR="007D5D49" w:rsidRPr="00754FD0" w:rsidRDefault="007D5D49" w:rsidP="007D5D49">
            <w:pPr>
              <w:ind w:left="175" w:right="100"/>
              <w:rPr>
                <w:b/>
                <w:color w:val="FFFFFF" w:themeColor="background1"/>
              </w:rPr>
            </w:pPr>
            <w:r w:rsidRPr="00754FD0">
              <w:rPr>
                <w:b/>
                <w:color w:val="FFFFFF" w:themeColor="background1"/>
              </w:rPr>
              <w:t>County</w:t>
            </w:r>
          </w:p>
        </w:tc>
        <w:tc>
          <w:tcPr>
            <w:tcW w:w="900"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1F4E79" w:themeFill="accent1" w:themeFillShade="80"/>
            <w:tcMar>
              <w:top w:w="0" w:type="dxa"/>
              <w:left w:w="108" w:type="dxa"/>
              <w:bottom w:w="0" w:type="dxa"/>
              <w:right w:w="108" w:type="dxa"/>
            </w:tcMar>
            <w:vAlign w:val="center"/>
            <w:hideMark/>
          </w:tcPr>
          <w:p w:rsidR="007D5D49" w:rsidRPr="00754FD0" w:rsidRDefault="007D5D49" w:rsidP="007D5D49">
            <w:pPr>
              <w:spacing w:line="207" w:lineRule="atLeast"/>
              <w:ind w:left="44" w:right="62"/>
              <w:rPr>
                <w:color w:val="FFFFFF" w:themeColor="background1"/>
              </w:rPr>
            </w:pPr>
            <w:r w:rsidRPr="00754FD0">
              <w:rPr>
                <w:color w:val="FFFFFF" w:themeColor="background1"/>
              </w:rPr>
              <w:t>201</w:t>
            </w:r>
            <w:r>
              <w:rPr>
                <w:color w:val="FFFFFF" w:themeColor="background1"/>
              </w:rPr>
              <w:t>8</w:t>
            </w:r>
          </w:p>
        </w:tc>
        <w:tc>
          <w:tcPr>
            <w:tcW w:w="810"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1F4E79" w:themeFill="accent1" w:themeFillShade="80"/>
            <w:tcMar>
              <w:top w:w="0" w:type="dxa"/>
              <w:left w:w="108" w:type="dxa"/>
              <w:bottom w:w="0" w:type="dxa"/>
              <w:right w:w="108" w:type="dxa"/>
            </w:tcMar>
            <w:vAlign w:val="center"/>
            <w:hideMark/>
          </w:tcPr>
          <w:p w:rsidR="007D5D49" w:rsidRPr="00754FD0" w:rsidRDefault="007D5D49" w:rsidP="007D5D49">
            <w:pPr>
              <w:spacing w:line="207" w:lineRule="atLeast"/>
              <w:ind w:right="-23"/>
              <w:rPr>
                <w:color w:val="FFFFFF" w:themeColor="background1"/>
              </w:rPr>
            </w:pPr>
            <w:r w:rsidRPr="00754FD0">
              <w:rPr>
                <w:color w:val="FFFFFF" w:themeColor="background1"/>
              </w:rPr>
              <w:t>201</w:t>
            </w:r>
            <w:r>
              <w:rPr>
                <w:color w:val="FFFFFF" w:themeColor="background1"/>
              </w:rPr>
              <w:t>9</w:t>
            </w:r>
          </w:p>
        </w:tc>
        <w:tc>
          <w:tcPr>
            <w:tcW w:w="1170" w:type="dxa"/>
            <w:tcBorders>
              <w:top w:val="single" w:sz="12" w:space="0" w:color="FFFFFF" w:themeColor="background1"/>
              <w:left w:val="single" w:sz="12" w:space="0" w:color="FFFFFF" w:themeColor="background1"/>
              <w:bottom w:val="nil"/>
            </w:tcBorders>
            <w:shd w:val="clear" w:color="auto" w:fill="1F4E79" w:themeFill="accent1" w:themeFillShade="80"/>
            <w:vAlign w:val="center"/>
          </w:tcPr>
          <w:p w:rsidR="007D5D49" w:rsidRPr="00754FD0" w:rsidRDefault="007D5D49" w:rsidP="007D5D49">
            <w:pPr>
              <w:ind w:left="89" w:right="90"/>
              <w:jc w:val="center"/>
              <w:rPr>
                <w:color w:val="FFFFFF" w:themeColor="background1"/>
              </w:rPr>
            </w:pPr>
            <w:r w:rsidRPr="00754FD0">
              <w:rPr>
                <w:color w:val="FFFFFF" w:themeColor="background1"/>
              </w:rPr>
              <w:t>% Change</w:t>
            </w:r>
          </w:p>
        </w:tc>
      </w:tr>
      <w:tr w:rsidR="007D5D49" w:rsidRPr="00C41C9C" w:rsidTr="007D5D49">
        <w:trPr>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hideMark/>
          </w:tcPr>
          <w:p w:rsidR="007D5D49" w:rsidRPr="00C41C9C" w:rsidRDefault="007D5D49" w:rsidP="007D5D49">
            <w:pPr>
              <w:spacing w:line="252" w:lineRule="auto"/>
              <w:ind w:left="62" w:right="100"/>
            </w:pPr>
            <w:r w:rsidRPr="00C41C9C">
              <w:t>Milwaukee</w:t>
            </w:r>
          </w:p>
        </w:tc>
        <w:tc>
          <w:tcPr>
            <w:tcW w:w="900" w:type="dxa"/>
            <w:tcBorders>
              <w:top w:val="nil"/>
              <w:left w:val="nil"/>
              <w:bottom w:val="nil"/>
              <w:right w:val="nil"/>
            </w:tcBorders>
            <w:shd w:val="clear" w:color="auto" w:fill="auto"/>
            <w:tcMar>
              <w:top w:w="0" w:type="dxa"/>
              <w:left w:w="108" w:type="dxa"/>
              <w:bottom w:w="0" w:type="dxa"/>
              <w:right w:w="108" w:type="dxa"/>
            </w:tcMar>
            <w:vAlign w:val="bottom"/>
          </w:tcPr>
          <w:p w:rsidR="007D5D49" w:rsidRPr="00C41C9C" w:rsidRDefault="007D5D49" w:rsidP="005637F6">
            <w:pPr>
              <w:spacing w:line="252" w:lineRule="auto"/>
              <w:ind w:left="44" w:right="62"/>
            </w:pPr>
            <w:r>
              <w:t>1,</w:t>
            </w:r>
            <w:r w:rsidR="005637F6">
              <w:t>429</w:t>
            </w:r>
          </w:p>
        </w:tc>
        <w:tc>
          <w:tcPr>
            <w:tcW w:w="810" w:type="dxa"/>
            <w:tcBorders>
              <w:top w:val="nil"/>
              <w:left w:val="nil"/>
              <w:bottom w:val="nil"/>
              <w:right w:val="nil"/>
            </w:tcBorders>
            <w:shd w:val="clear" w:color="auto" w:fill="auto"/>
            <w:tcMar>
              <w:top w:w="0" w:type="dxa"/>
              <w:left w:w="108" w:type="dxa"/>
              <w:bottom w:w="0" w:type="dxa"/>
              <w:right w:w="108" w:type="dxa"/>
            </w:tcMar>
            <w:vAlign w:val="bottom"/>
          </w:tcPr>
          <w:p w:rsidR="007D5D49" w:rsidRPr="00C41C9C" w:rsidRDefault="007D5D49" w:rsidP="005637F6">
            <w:pPr>
              <w:spacing w:line="252" w:lineRule="auto"/>
              <w:ind w:right="-23"/>
            </w:pPr>
            <w:r>
              <w:t>1,</w:t>
            </w:r>
            <w:r w:rsidR="005637F6">
              <w:t>445</w:t>
            </w:r>
          </w:p>
        </w:tc>
        <w:tc>
          <w:tcPr>
            <w:tcW w:w="1170" w:type="dxa"/>
            <w:tcBorders>
              <w:top w:val="nil"/>
              <w:left w:val="nil"/>
              <w:bottom w:val="nil"/>
              <w:right w:val="nil"/>
            </w:tcBorders>
            <w:shd w:val="clear" w:color="auto" w:fill="auto"/>
            <w:vAlign w:val="center"/>
          </w:tcPr>
          <w:p w:rsidR="007D5D49" w:rsidRPr="00C41C9C" w:rsidRDefault="005637F6" w:rsidP="007D5D49">
            <w:pPr>
              <w:spacing w:line="252" w:lineRule="auto"/>
              <w:ind w:left="95" w:right="445"/>
              <w:jc w:val="right"/>
            </w:pPr>
            <w:r>
              <w:t>1</w:t>
            </w:r>
            <w:r w:rsidR="007D5D49">
              <w:t>.1</w:t>
            </w:r>
            <w:r w:rsidR="007D5D49" w:rsidRPr="00C41C9C">
              <w:t>%</w:t>
            </w:r>
          </w:p>
        </w:tc>
      </w:tr>
      <w:tr w:rsidR="007D5D49" w:rsidRPr="00C41C9C" w:rsidTr="007D5D49">
        <w:trPr>
          <w:trHeight w:val="288"/>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rsidR="007D5D49" w:rsidRPr="00C41C9C" w:rsidRDefault="007D5D49" w:rsidP="007D5D49">
            <w:pPr>
              <w:spacing w:line="252" w:lineRule="auto"/>
              <w:ind w:left="62" w:right="100"/>
            </w:pPr>
            <w:r w:rsidRPr="00C41C9C">
              <w:t>Waukesha</w:t>
            </w:r>
          </w:p>
        </w:tc>
        <w:tc>
          <w:tcPr>
            <w:tcW w:w="90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7D5D49" w:rsidRPr="00C41C9C" w:rsidRDefault="005637F6" w:rsidP="007D5D49">
            <w:pPr>
              <w:spacing w:line="252" w:lineRule="auto"/>
              <w:ind w:left="44" w:right="62"/>
            </w:pPr>
            <w:r>
              <w:t>774</w:t>
            </w:r>
          </w:p>
        </w:tc>
        <w:tc>
          <w:tcPr>
            <w:tcW w:w="8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7D5D49" w:rsidRPr="00C41C9C" w:rsidRDefault="005637F6" w:rsidP="007D5D49">
            <w:pPr>
              <w:spacing w:line="252" w:lineRule="auto"/>
              <w:ind w:right="-23"/>
            </w:pPr>
            <w:r>
              <w:t>788</w:t>
            </w:r>
          </w:p>
        </w:tc>
        <w:tc>
          <w:tcPr>
            <w:tcW w:w="1170" w:type="dxa"/>
            <w:tcBorders>
              <w:top w:val="nil"/>
              <w:left w:val="nil"/>
              <w:bottom w:val="nil"/>
              <w:right w:val="nil"/>
            </w:tcBorders>
            <w:shd w:val="clear" w:color="auto" w:fill="DEEAF6" w:themeFill="accent1" w:themeFillTint="33"/>
            <w:vAlign w:val="center"/>
          </w:tcPr>
          <w:p w:rsidR="007D5D49" w:rsidRPr="00C41C9C" w:rsidRDefault="007D5D49" w:rsidP="005637F6">
            <w:pPr>
              <w:spacing w:line="252" w:lineRule="auto"/>
              <w:ind w:left="95" w:right="445"/>
              <w:jc w:val="right"/>
            </w:pPr>
            <w:r>
              <w:t>1.</w:t>
            </w:r>
            <w:r w:rsidR="005637F6">
              <w:t>8</w:t>
            </w:r>
            <w:r w:rsidRPr="00C41C9C">
              <w:t>%</w:t>
            </w:r>
          </w:p>
        </w:tc>
      </w:tr>
      <w:tr w:rsidR="007D5D49" w:rsidRPr="00C41C9C" w:rsidTr="007D5D49">
        <w:trPr>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hideMark/>
          </w:tcPr>
          <w:p w:rsidR="007D5D49" w:rsidRPr="00C41C9C" w:rsidRDefault="007D5D49" w:rsidP="007D5D49">
            <w:pPr>
              <w:spacing w:line="252" w:lineRule="auto"/>
              <w:ind w:left="62" w:right="100"/>
            </w:pPr>
            <w:r w:rsidRPr="00C41C9C">
              <w:t>Washington</w:t>
            </w:r>
          </w:p>
        </w:tc>
        <w:tc>
          <w:tcPr>
            <w:tcW w:w="900" w:type="dxa"/>
            <w:tcBorders>
              <w:top w:val="nil"/>
              <w:left w:val="nil"/>
              <w:bottom w:val="nil"/>
              <w:right w:val="nil"/>
            </w:tcBorders>
            <w:shd w:val="clear" w:color="auto" w:fill="auto"/>
            <w:tcMar>
              <w:top w:w="0" w:type="dxa"/>
              <w:left w:w="108" w:type="dxa"/>
              <w:bottom w:w="0" w:type="dxa"/>
              <w:right w:w="108" w:type="dxa"/>
            </w:tcMar>
            <w:vAlign w:val="center"/>
          </w:tcPr>
          <w:p w:rsidR="007D5D49" w:rsidRPr="00C41C9C" w:rsidRDefault="005637F6" w:rsidP="007D5D49">
            <w:pPr>
              <w:spacing w:line="252" w:lineRule="auto"/>
              <w:ind w:left="44" w:right="62"/>
            </w:pPr>
            <w:r>
              <w:t>241</w:t>
            </w:r>
          </w:p>
        </w:tc>
        <w:tc>
          <w:tcPr>
            <w:tcW w:w="810" w:type="dxa"/>
            <w:tcBorders>
              <w:top w:val="nil"/>
              <w:left w:val="nil"/>
              <w:bottom w:val="nil"/>
              <w:right w:val="nil"/>
            </w:tcBorders>
            <w:shd w:val="clear" w:color="auto" w:fill="auto"/>
            <w:tcMar>
              <w:top w:w="0" w:type="dxa"/>
              <w:left w:w="108" w:type="dxa"/>
              <w:bottom w:w="0" w:type="dxa"/>
              <w:right w:w="108" w:type="dxa"/>
            </w:tcMar>
            <w:vAlign w:val="center"/>
          </w:tcPr>
          <w:p w:rsidR="007D5D49" w:rsidRPr="00C41C9C" w:rsidRDefault="007D5D49" w:rsidP="005637F6">
            <w:pPr>
              <w:spacing w:line="252" w:lineRule="auto"/>
              <w:ind w:right="-23"/>
            </w:pPr>
            <w:r>
              <w:t>2</w:t>
            </w:r>
            <w:r w:rsidR="005637F6">
              <w:t>55</w:t>
            </w:r>
          </w:p>
        </w:tc>
        <w:tc>
          <w:tcPr>
            <w:tcW w:w="1170" w:type="dxa"/>
            <w:tcBorders>
              <w:top w:val="nil"/>
              <w:left w:val="nil"/>
              <w:bottom w:val="nil"/>
              <w:right w:val="nil"/>
            </w:tcBorders>
            <w:shd w:val="clear" w:color="auto" w:fill="auto"/>
            <w:vAlign w:val="center"/>
          </w:tcPr>
          <w:p w:rsidR="007D5D49" w:rsidRPr="00C41C9C" w:rsidRDefault="005637F6" w:rsidP="005637F6">
            <w:pPr>
              <w:spacing w:line="252" w:lineRule="auto"/>
              <w:ind w:left="95" w:right="445"/>
              <w:jc w:val="right"/>
            </w:pPr>
            <w:r>
              <w:t>5</w:t>
            </w:r>
            <w:r w:rsidR="007D5D49">
              <w:t>.</w:t>
            </w:r>
            <w:r>
              <w:t>8</w:t>
            </w:r>
            <w:r w:rsidR="007D5D49" w:rsidRPr="00C41C9C">
              <w:t>%</w:t>
            </w:r>
          </w:p>
        </w:tc>
      </w:tr>
      <w:tr w:rsidR="007D5D49" w:rsidRPr="00C41C9C" w:rsidTr="007D5D49">
        <w:trPr>
          <w:trHeight w:val="288"/>
        </w:trPr>
        <w:tc>
          <w:tcPr>
            <w:tcW w:w="171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rsidR="007D5D49" w:rsidRPr="00C41C9C" w:rsidRDefault="007D5D49" w:rsidP="007D5D49">
            <w:pPr>
              <w:spacing w:line="252" w:lineRule="auto"/>
              <w:ind w:left="62" w:right="100"/>
            </w:pPr>
            <w:r w:rsidRPr="00C41C9C">
              <w:t>Ozaukee</w:t>
            </w:r>
          </w:p>
        </w:tc>
        <w:tc>
          <w:tcPr>
            <w:tcW w:w="90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rsidR="007D5D49" w:rsidRPr="00C41C9C" w:rsidRDefault="005637F6" w:rsidP="007D5D49">
            <w:pPr>
              <w:spacing w:line="252" w:lineRule="auto"/>
              <w:ind w:left="44" w:right="62"/>
            </w:pPr>
            <w:r>
              <w:t>137</w:t>
            </w:r>
          </w:p>
        </w:tc>
        <w:tc>
          <w:tcPr>
            <w:tcW w:w="81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rsidR="007D5D49" w:rsidRPr="00C41C9C" w:rsidRDefault="007D5D49" w:rsidP="005637F6">
            <w:pPr>
              <w:spacing w:line="252" w:lineRule="auto"/>
              <w:ind w:right="-23"/>
            </w:pPr>
            <w:r>
              <w:t>2</w:t>
            </w:r>
            <w:r w:rsidR="005637F6">
              <w:t>00</w:t>
            </w:r>
          </w:p>
        </w:tc>
        <w:tc>
          <w:tcPr>
            <w:tcW w:w="1170" w:type="dxa"/>
            <w:tcBorders>
              <w:top w:val="nil"/>
              <w:left w:val="nil"/>
              <w:bottom w:val="single" w:sz="4" w:space="0" w:color="auto"/>
              <w:right w:val="nil"/>
            </w:tcBorders>
            <w:shd w:val="clear" w:color="auto" w:fill="DEEAF6" w:themeFill="accent1" w:themeFillTint="33"/>
            <w:vAlign w:val="center"/>
          </w:tcPr>
          <w:p w:rsidR="007D5D49" w:rsidRPr="00C41C9C" w:rsidRDefault="005637F6" w:rsidP="005637F6">
            <w:pPr>
              <w:spacing w:line="252" w:lineRule="auto"/>
              <w:ind w:left="95" w:right="445"/>
              <w:jc w:val="right"/>
            </w:pPr>
            <w:r>
              <w:t>46</w:t>
            </w:r>
            <w:r w:rsidR="007D5D49">
              <w:t>.</w:t>
            </w:r>
            <w:r>
              <w:t>0</w:t>
            </w:r>
            <w:r w:rsidR="007D5D49" w:rsidRPr="00C41C9C">
              <w:t>%</w:t>
            </w:r>
          </w:p>
        </w:tc>
      </w:tr>
      <w:tr w:rsidR="007D5D49" w:rsidRPr="00C41C9C" w:rsidTr="007D5D49">
        <w:trPr>
          <w:trHeight w:val="288"/>
        </w:trPr>
        <w:tc>
          <w:tcPr>
            <w:tcW w:w="1710" w:type="dxa"/>
            <w:tcBorders>
              <w:top w:val="single" w:sz="4" w:space="0" w:color="auto"/>
              <w:left w:val="nil"/>
              <w:bottom w:val="nil"/>
              <w:right w:val="nil"/>
            </w:tcBorders>
            <w:shd w:val="clear" w:color="auto" w:fill="auto"/>
            <w:tcMar>
              <w:top w:w="0" w:type="dxa"/>
              <w:left w:w="108" w:type="dxa"/>
              <w:bottom w:w="0" w:type="dxa"/>
              <w:right w:w="108" w:type="dxa"/>
            </w:tcMar>
            <w:vAlign w:val="center"/>
            <w:hideMark/>
          </w:tcPr>
          <w:p w:rsidR="007D5D49" w:rsidRPr="00C41C9C" w:rsidRDefault="007D5D49" w:rsidP="007D5D49">
            <w:pPr>
              <w:spacing w:line="252" w:lineRule="auto"/>
              <w:ind w:left="62" w:right="100"/>
            </w:pPr>
            <w:r w:rsidRPr="00C41C9C">
              <w:t>4 County Area</w:t>
            </w:r>
          </w:p>
        </w:tc>
        <w:tc>
          <w:tcPr>
            <w:tcW w:w="900" w:type="dxa"/>
            <w:tcBorders>
              <w:top w:val="single" w:sz="4" w:space="0" w:color="auto"/>
              <w:left w:val="nil"/>
              <w:bottom w:val="nil"/>
              <w:right w:val="nil"/>
            </w:tcBorders>
            <w:shd w:val="clear" w:color="auto" w:fill="auto"/>
            <w:tcMar>
              <w:top w:w="0" w:type="dxa"/>
              <w:left w:w="108" w:type="dxa"/>
              <w:bottom w:w="0" w:type="dxa"/>
              <w:right w:w="108" w:type="dxa"/>
            </w:tcMar>
            <w:vAlign w:val="center"/>
          </w:tcPr>
          <w:p w:rsidR="007D5D49" w:rsidRPr="00C41C9C" w:rsidRDefault="007D5D49" w:rsidP="005637F6">
            <w:pPr>
              <w:spacing w:line="252" w:lineRule="auto"/>
              <w:ind w:left="44" w:right="62"/>
            </w:pPr>
            <w:r>
              <w:t>2,</w:t>
            </w:r>
            <w:r w:rsidR="005637F6">
              <w:t>581</w:t>
            </w:r>
          </w:p>
        </w:tc>
        <w:tc>
          <w:tcPr>
            <w:tcW w:w="810" w:type="dxa"/>
            <w:tcBorders>
              <w:top w:val="single" w:sz="4" w:space="0" w:color="auto"/>
              <w:left w:val="nil"/>
              <w:bottom w:val="nil"/>
              <w:right w:val="nil"/>
            </w:tcBorders>
            <w:shd w:val="clear" w:color="auto" w:fill="auto"/>
            <w:tcMar>
              <w:top w:w="0" w:type="dxa"/>
              <w:left w:w="108" w:type="dxa"/>
              <w:bottom w:w="0" w:type="dxa"/>
              <w:right w:w="108" w:type="dxa"/>
            </w:tcMar>
            <w:vAlign w:val="center"/>
          </w:tcPr>
          <w:p w:rsidR="007D5D49" w:rsidRPr="00C41C9C" w:rsidRDefault="007D5D49" w:rsidP="005637F6">
            <w:pPr>
              <w:spacing w:line="252" w:lineRule="auto"/>
              <w:ind w:right="-23"/>
            </w:pPr>
            <w:r>
              <w:t>2,</w:t>
            </w:r>
            <w:r w:rsidR="005637F6">
              <w:t>688</w:t>
            </w:r>
          </w:p>
        </w:tc>
        <w:tc>
          <w:tcPr>
            <w:tcW w:w="1170" w:type="dxa"/>
            <w:tcBorders>
              <w:top w:val="single" w:sz="4" w:space="0" w:color="auto"/>
              <w:left w:val="nil"/>
              <w:bottom w:val="nil"/>
              <w:right w:val="nil"/>
            </w:tcBorders>
            <w:shd w:val="clear" w:color="auto" w:fill="auto"/>
            <w:vAlign w:val="center"/>
          </w:tcPr>
          <w:p w:rsidR="007D5D49" w:rsidRPr="00C41C9C" w:rsidRDefault="005637F6" w:rsidP="005637F6">
            <w:pPr>
              <w:spacing w:line="252" w:lineRule="auto"/>
              <w:ind w:left="95" w:right="445"/>
              <w:jc w:val="right"/>
            </w:pPr>
            <w:r>
              <w:t>4</w:t>
            </w:r>
            <w:r w:rsidR="007D5D49">
              <w:t>.</w:t>
            </w:r>
            <w:r>
              <w:t>1</w:t>
            </w:r>
            <w:r w:rsidR="007D5D49" w:rsidRPr="00C41C9C">
              <w:t>%</w:t>
            </w:r>
          </w:p>
        </w:tc>
      </w:tr>
      <w:tr w:rsidR="007D5D49" w:rsidRPr="00C41C9C" w:rsidTr="007D5D49">
        <w:trPr>
          <w:trHeight w:val="144"/>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7D5D49" w:rsidRPr="00156337" w:rsidRDefault="007D5D49" w:rsidP="007D5D49">
            <w:pPr>
              <w:spacing w:line="252" w:lineRule="auto"/>
              <w:ind w:left="62" w:right="100"/>
              <w:rPr>
                <w:sz w:val="10"/>
                <w:szCs w:val="10"/>
              </w:rPr>
            </w:pPr>
          </w:p>
        </w:tc>
        <w:tc>
          <w:tcPr>
            <w:tcW w:w="90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7D5D49" w:rsidRPr="00156337" w:rsidRDefault="007D5D49" w:rsidP="007D5D49">
            <w:pPr>
              <w:spacing w:line="252" w:lineRule="auto"/>
              <w:ind w:left="44" w:right="62"/>
              <w:rPr>
                <w:sz w:val="10"/>
                <w:szCs w:val="10"/>
              </w:rPr>
            </w:pPr>
          </w:p>
        </w:tc>
        <w:tc>
          <w:tcPr>
            <w:tcW w:w="8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7D5D49" w:rsidRPr="00156337" w:rsidRDefault="007D5D49" w:rsidP="007D5D49">
            <w:pPr>
              <w:spacing w:line="252" w:lineRule="auto"/>
              <w:ind w:right="-23"/>
              <w:rPr>
                <w:sz w:val="10"/>
                <w:szCs w:val="10"/>
              </w:rPr>
            </w:pPr>
          </w:p>
        </w:tc>
        <w:tc>
          <w:tcPr>
            <w:tcW w:w="1170" w:type="dxa"/>
            <w:tcBorders>
              <w:top w:val="nil"/>
              <w:left w:val="nil"/>
              <w:bottom w:val="nil"/>
              <w:right w:val="nil"/>
            </w:tcBorders>
            <w:shd w:val="clear" w:color="auto" w:fill="DEEAF6" w:themeFill="accent1" w:themeFillTint="33"/>
            <w:vAlign w:val="center"/>
          </w:tcPr>
          <w:p w:rsidR="007D5D49" w:rsidRPr="00156337" w:rsidRDefault="007D5D49" w:rsidP="007D5D49">
            <w:pPr>
              <w:spacing w:line="252" w:lineRule="auto"/>
              <w:ind w:left="95" w:right="445"/>
              <w:jc w:val="right"/>
              <w:rPr>
                <w:sz w:val="10"/>
                <w:szCs w:val="10"/>
              </w:rPr>
            </w:pPr>
          </w:p>
        </w:tc>
      </w:tr>
      <w:tr w:rsidR="007D5D49" w:rsidRPr="00C41C9C" w:rsidTr="007D5D49">
        <w:trPr>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tcPr>
          <w:p w:rsidR="007D5D49" w:rsidRPr="00C41C9C" w:rsidRDefault="007D5D49" w:rsidP="007D5D49">
            <w:pPr>
              <w:spacing w:line="252" w:lineRule="auto"/>
              <w:ind w:left="62" w:right="100"/>
            </w:pPr>
            <w:r>
              <w:t>Racine</w:t>
            </w:r>
          </w:p>
        </w:tc>
        <w:tc>
          <w:tcPr>
            <w:tcW w:w="900" w:type="dxa"/>
            <w:tcBorders>
              <w:top w:val="nil"/>
              <w:left w:val="nil"/>
              <w:bottom w:val="nil"/>
              <w:right w:val="nil"/>
            </w:tcBorders>
            <w:shd w:val="clear" w:color="auto" w:fill="auto"/>
            <w:tcMar>
              <w:top w:w="0" w:type="dxa"/>
              <w:left w:w="108" w:type="dxa"/>
              <w:bottom w:w="0" w:type="dxa"/>
              <w:right w:w="108" w:type="dxa"/>
            </w:tcMar>
            <w:vAlign w:val="center"/>
          </w:tcPr>
          <w:p w:rsidR="007D5D49" w:rsidRPr="00C41C9C" w:rsidRDefault="005637F6" w:rsidP="005637F6">
            <w:pPr>
              <w:spacing w:line="252" w:lineRule="auto"/>
              <w:ind w:left="44" w:right="62"/>
            </w:pPr>
            <w:r>
              <w:t>391</w:t>
            </w:r>
          </w:p>
        </w:tc>
        <w:tc>
          <w:tcPr>
            <w:tcW w:w="810" w:type="dxa"/>
            <w:tcBorders>
              <w:top w:val="nil"/>
              <w:left w:val="nil"/>
              <w:bottom w:val="nil"/>
              <w:right w:val="nil"/>
            </w:tcBorders>
            <w:shd w:val="clear" w:color="auto" w:fill="auto"/>
            <w:tcMar>
              <w:top w:w="0" w:type="dxa"/>
              <w:left w:w="108" w:type="dxa"/>
              <w:bottom w:w="0" w:type="dxa"/>
              <w:right w:w="108" w:type="dxa"/>
            </w:tcMar>
            <w:vAlign w:val="center"/>
          </w:tcPr>
          <w:p w:rsidR="007D5D49" w:rsidRPr="00C41C9C" w:rsidRDefault="007D5D49" w:rsidP="005637F6">
            <w:pPr>
              <w:spacing w:line="252" w:lineRule="auto"/>
              <w:ind w:right="-23"/>
            </w:pPr>
            <w:r>
              <w:t>3</w:t>
            </w:r>
            <w:r w:rsidR="005637F6">
              <w:t>89</w:t>
            </w:r>
          </w:p>
        </w:tc>
        <w:tc>
          <w:tcPr>
            <w:tcW w:w="1170" w:type="dxa"/>
            <w:tcBorders>
              <w:top w:val="nil"/>
              <w:left w:val="nil"/>
              <w:bottom w:val="nil"/>
              <w:right w:val="nil"/>
            </w:tcBorders>
            <w:shd w:val="clear" w:color="auto" w:fill="auto"/>
            <w:vAlign w:val="center"/>
          </w:tcPr>
          <w:p w:rsidR="007D5D49" w:rsidRPr="00C41C9C" w:rsidRDefault="007D5D49" w:rsidP="005637F6">
            <w:pPr>
              <w:spacing w:line="252" w:lineRule="auto"/>
              <w:ind w:left="95" w:right="445"/>
              <w:jc w:val="right"/>
            </w:pPr>
            <w:r>
              <w:t>-</w:t>
            </w:r>
            <w:r w:rsidR="005637F6">
              <w:t>0</w:t>
            </w:r>
            <w:r>
              <w:t>.</w:t>
            </w:r>
            <w:r w:rsidR="005637F6">
              <w:t>5</w:t>
            </w:r>
            <w:r>
              <w:t>%</w:t>
            </w:r>
          </w:p>
        </w:tc>
      </w:tr>
      <w:tr w:rsidR="007D5D49" w:rsidRPr="00C41C9C" w:rsidTr="007D5D49">
        <w:trPr>
          <w:trHeight w:val="288"/>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7D5D49" w:rsidRPr="00C41C9C" w:rsidRDefault="007D5D49" w:rsidP="007D5D49">
            <w:pPr>
              <w:spacing w:line="252" w:lineRule="auto"/>
              <w:ind w:left="62" w:right="100"/>
            </w:pPr>
            <w:r>
              <w:t>Kenosha</w:t>
            </w:r>
          </w:p>
        </w:tc>
        <w:tc>
          <w:tcPr>
            <w:tcW w:w="90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7D5D49" w:rsidRPr="00C41C9C" w:rsidRDefault="005637F6" w:rsidP="007D5D49">
            <w:pPr>
              <w:spacing w:line="252" w:lineRule="auto"/>
              <w:ind w:left="44" w:right="62"/>
            </w:pPr>
            <w:r>
              <w:t>319</w:t>
            </w:r>
          </w:p>
        </w:tc>
        <w:tc>
          <w:tcPr>
            <w:tcW w:w="8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7D5D49" w:rsidRPr="00C41C9C" w:rsidRDefault="007D5D49" w:rsidP="005637F6">
            <w:pPr>
              <w:spacing w:line="252" w:lineRule="auto"/>
              <w:ind w:right="-23"/>
            </w:pPr>
            <w:r>
              <w:t>3</w:t>
            </w:r>
            <w:r w:rsidR="005637F6">
              <w:t>60</w:t>
            </w:r>
          </w:p>
        </w:tc>
        <w:tc>
          <w:tcPr>
            <w:tcW w:w="1170" w:type="dxa"/>
            <w:tcBorders>
              <w:top w:val="nil"/>
              <w:left w:val="nil"/>
              <w:bottom w:val="nil"/>
              <w:right w:val="nil"/>
            </w:tcBorders>
            <w:shd w:val="clear" w:color="auto" w:fill="DEEAF6" w:themeFill="accent1" w:themeFillTint="33"/>
            <w:vAlign w:val="center"/>
          </w:tcPr>
          <w:p w:rsidR="007D5D49" w:rsidRPr="00C41C9C" w:rsidRDefault="005637F6" w:rsidP="005637F6">
            <w:pPr>
              <w:spacing w:line="252" w:lineRule="auto"/>
              <w:ind w:left="95" w:right="445"/>
              <w:jc w:val="right"/>
            </w:pPr>
            <w:r>
              <w:t>12</w:t>
            </w:r>
            <w:r w:rsidR="007D5D49">
              <w:t>.</w:t>
            </w:r>
            <w:r>
              <w:t>9</w:t>
            </w:r>
            <w:r w:rsidR="007D5D49">
              <w:t>%</w:t>
            </w:r>
          </w:p>
        </w:tc>
      </w:tr>
      <w:tr w:rsidR="007D5D49" w:rsidRPr="00C41C9C" w:rsidTr="007D5D49">
        <w:trPr>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tcPr>
          <w:p w:rsidR="007D5D49" w:rsidRDefault="007D5D49" w:rsidP="007D5D49">
            <w:pPr>
              <w:spacing w:line="252" w:lineRule="auto"/>
              <w:ind w:left="62" w:right="100"/>
            </w:pPr>
            <w:r>
              <w:t>Walworth</w:t>
            </w:r>
          </w:p>
        </w:tc>
        <w:tc>
          <w:tcPr>
            <w:tcW w:w="900" w:type="dxa"/>
            <w:tcBorders>
              <w:top w:val="nil"/>
              <w:left w:val="nil"/>
              <w:bottom w:val="nil"/>
              <w:right w:val="nil"/>
            </w:tcBorders>
            <w:shd w:val="clear" w:color="auto" w:fill="auto"/>
            <w:tcMar>
              <w:top w:w="0" w:type="dxa"/>
              <w:left w:w="108" w:type="dxa"/>
              <w:bottom w:w="0" w:type="dxa"/>
              <w:right w:w="108" w:type="dxa"/>
            </w:tcMar>
            <w:vAlign w:val="center"/>
          </w:tcPr>
          <w:p w:rsidR="007D5D49" w:rsidRDefault="005637F6" w:rsidP="007D5D49">
            <w:pPr>
              <w:spacing w:line="252" w:lineRule="auto"/>
              <w:ind w:left="44" w:right="62"/>
            </w:pPr>
            <w:r>
              <w:t>250</w:t>
            </w:r>
          </w:p>
        </w:tc>
        <w:tc>
          <w:tcPr>
            <w:tcW w:w="810" w:type="dxa"/>
            <w:tcBorders>
              <w:top w:val="nil"/>
              <w:left w:val="nil"/>
              <w:bottom w:val="nil"/>
              <w:right w:val="nil"/>
            </w:tcBorders>
            <w:shd w:val="clear" w:color="auto" w:fill="auto"/>
            <w:tcMar>
              <w:top w:w="0" w:type="dxa"/>
              <w:left w:w="108" w:type="dxa"/>
              <w:bottom w:w="0" w:type="dxa"/>
              <w:right w:w="108" w:type="dxa"/>
            </w:tcMar>
            <w:vAlign w:val="center"/>
          </w:tcPr>
          <w:p w:rsidR="007D5D49" w:rsidRDefault="007D5D49" w:rsidP="005637F6">
            <w:pPr>
              <w:spacing w:line="252" w:lineRule="auto"/>
              <w:ind w:right="-23"/>
            </w:pPr>
            <w:r>
              <w:t>2</w:t>
            </w:r>
            <w:r w:rsidR="005637F6">
              <w:t>63</w:t>
            </w:r>
          </w:p>
        </w:tc>
        <w:tc>
          <w:tcPr>
            <w:tcW w:w="1170" w:type="dxa"/>
            <w:tcBorders>
              <w:top w:val="nil"/>
              <w:left w:val="nil"/>
              <w:bottom w:val="nil"/>
              <w:right w:val="nil"/>
            </w:tcBorders>
            <w:shd w:val="clear" w:color="auto" w:fill="auto"/>
            <w:vAlign w:val="center"/>
          </w:tcPr>
          <w:p w:rsidR="007D5D49" w:rsidRDefault="007D5D49" w:rsidP="005637F6">
            <w:pPr>
              <w:spacing w:line="252" w:lineRule="auto"/>
              <w:ind w:left="95" w:right="445"/>
              <w:jc w:val="right"/>
            </w:pPr>
            <w:r>
              <w:t>5.</w:t>
            </w:r>
            <w:r w:rsidR="005637F6">
              <w:t>2</w:t>
            </w:r>
            <w:r>
              <w:t>%</w:t>
            </w:r>
          </w:p>
        </w:tc>
      </w:tr>
    </w:tbl>
    <w:p w:rsidR="000561A4" w:rsidRDefault="000561A4" w:rsidP="002B0C16">
      <w:pPr>
        <w:spacing w:before="120" w:after="120"/>
        <w:ind w:left="-360" w:right="-360"/>
        <w:contextualSpacing/>
        <w:rPr>
          <w:sz w:val="24"/>
          <w:szCs w:val="24"/>
        </w:rPr>
      </w:pPr>
    </w:p>
    <w:p w:rsidR="000D45BC" w:rsidRDefault="00F1598A" w:rsidP="002B0C16">
      <w:pPr>
        <w:spacing w:before="120" w:after="120"/>
        <w:ind w:left="-360" w:right="-360"/>
        <w:contextualSpacing/>
        <w:rPr>
          <w:sz w:val="24"/>
          <w:szCs w:val="24"/>
        </w:rPr>
      </w:pPr>
      <w:r>
        <w:rPr>
          <w:sz w:val="24"/>
          <w:szCs w:val="24"/>
        </w:rPr>
        <w:t xml:space="preserve">The metropolitan market could use an additional </w:t>
      </w:r>
      <w:r w:rsidR="00AD4EC8" w:rsidRPr="00AD4EC8">
        <w:rPr>
          <w:sz w:val="24"/>
          <w:szCs w:val="24"/>
        </w:rPr>
        <w:t>3</w:t>
      </w:r>
      <w:r w:rsidR="00AD4EC8">
        <w:rPr>
          <w:sz w:val="24"/>
          <w:szCs w:val="24"/>
        </w:rPr>
        <w:t>,</w:t>
      </w:r>
      <w:r w:rsidR="000561A4">
        <w:rPr>
          <w:sz w:val="24"/>
          <w:szCs w:val="24"/>
        </w:rPr>
        <w:t>35</w:t>
      </w:r>
      <w:r w:rsidR="00AD4EC8" w:rsidRPr="00AD4EC8">
        <w:rPr>
          <w:sz w:val="24"/>
          <w:szCs w:val="24"/>
        </w:rPr>
        <w:t xml:space="preserve">0 </w:t>
      </w:r>
      <w:r>
        <w:rPr>
          <w:sz w:val="24"/>
          <w:szCs w:val="24"/>
        </w:rPr>
        <w:t>listings</w:t>
      </w:r>
      <w:r w:rsidR="00AD4EC8">
        <w:rPr>
          <w:sz w:val="24"/>
          <w:szCs w:val="24"/>
        </w:rPr>
        <w:t xml:space="preserve"> (more than </w:t>
      </w:r>
      <w:r w:rsidR="00487AC4">
        <w:rPr>
          <w:sz w:val="24"/>
          <w:szCs w:val="24"/>
        </w:rPr>
        <w:t xml:space="preserve">half </w:t>
      </w:r>
      <w:r w:rsidR="00AD4EC8">
        <w:rPr>
          <w:sz w:val="24"/>
          <w:szCs w:val="24"/>
        </w:rPr>
        <w:t xml:space="preserve">priced </w:t>
      </w:r>
      <w:r w:rsidR="00487AC4">
        <w:rPr>
          <w:sz w:val="24"/>
          <w:szCs w:val="24"/>
        </w:rPr>
        <w:t>under $300,000</w:t>
      </w:r>
      <w:r w:rsidR="00AD4EC8">
        <w:rPr>
          <w:sz w:val="24"/>
          <w:szCs w:val="24"/>
        </w:rPr>
        <w:t>)</w:t>
      </w:r>
      <w:r w:rsidR="00487AC4">
        <w:rPr>
          <w:sz w:val="24"/>
          <w:szCs w:val="24"/>
        </w:rPr>
        <w:t xml:space="preserve"> </w:t>
      </w:r>
      <w:r>
        <w:rPr>
          <w:sz w:val="24"/>
          <w:szCs w:val="24"/>
        </w:rPr>
        <w:t xml:space="preserve">to come close to satisfying current demand. </w:t>
      </w:r>
      <w:r w:rsidR="00487AC4">
        <w:rPr>
          <w:sz w:val="24"/>
          <w:szCs w:val="24"/>
        </w:rPr>
        <w:t>T</w:t>
      </w:r>
      <w:r>
        <w:rPr>
          <w:sz w:val="24"/>
          <w:szCs w:val="24"/>
        </w:rPr>
        <w:t xml:space="preserve">hat’s on top of the </w:t>
      </w:r>
      <w:r w:rsidR="00AD4EC8">
        <w:rPr>
          <w:sz w:val="24"/>
          <w:szCs w:val="24"/>
        </w:rPr>
        <w:t>6</w:t>
      </w:r>
      <w:r>
        <w:rPr>
          <w:sz w:val="24"/>
          <w:szCs w:val="24"/>
        </w:rPr>
        <w:t>,</w:t>
      </w:r>
      <w:r w:rsidR="000561A4">
        <w:rPr>
          <w:sz w:val="24"/>
          <w:szCs w:val="24"/>
        </w:rPr>
        <w:t>687</w:t>
      </w:r>
      <w:r>
        <w:rPr>
          <w:sz w:val="24"/>
          <w:szCs w:val="24"/>
        </w:rPr>
        <w:t xml:space="preserve"> listings currently in MLS</w:t>
      </w:r>
      <w:r w:rsidR="00487AC4">
        <w:rPr>
          <w:sz w:val="24"/>
          <w:szCs w:val="24"/>
        </w:rPr>
        <w:t>.</w:t>
      </w:r>
      <w:r>
        <w:rPr>
          <w:sz w:val="24"/>
          <w:szCs w:val="24"/>
        </w:rPr>
        <w:t xml:space="preserve"> </w:t>
      </w:r>
    </w:p>
    <w:p w:rsidR="00D0513E" w:rsidRDefault="00D0513E" w:rsidP="002B0C16">
      <w:pPr>
        <w:spacing w:before="120" w:after="120"/>
        <w:ind w:right="-360"/>
        <w:contextualSpacing/>
        <w:rPr>
          <w:sz w:val="24"/>
          <w:szCs w:val="24"/>
        </w:rPr>
      </w:pPr>
    </w:p>
    <w:p w:rsidR="000D45BC" w:rsidRDefault="000D45BC" w:rsidP="001F5CBD">
      <w:pPr>
        <w:spacing w:before="120" w:after="120"/>
        <w:ind w:left="-360" w:right="-360"/>
        <w:contextualSpacing/>
        <w:rPr>
          <w:sz w:val="24"/>
          <w:szCs w:val="24"/>
        </w:rPr>
      </w:pPr>
    </w:p>
    <w:p w:rsidR="000561A4" w:rsidRDefault="000561A4" w:rsidP="001F5CBD">
      <w:pPr>
        <w:spacing w:before="120" w:after="120"/>
        <w:ind w:left="-360" w:right="-360"/>
        <w:contextualSpacing/>
        <w:rPr>
          <w:sz w:val="24"/>
          <w:szCs w:val="24"/>
        </w:rPr>
      </w:pPr>
    </w:p>
    <w:p w:rsidR="000561A4" w:rsidRDefault="000561A4" w:rsidP="001F5CBD">
      <w:pPr>
        <w:spacing w:before="120" w:after="120"/>
        <w:ind w:left="-360" w:right="-360"/>
        <w:contextualSpacing/>
        <w:rPr>
          <w:sz w:val="24"/>
          <w:szCs w:val="24"/>
        </w:rPr>
      </w:pPr>
    </w:p>
    <w:p w:rsidR="000561A4" w:rsidRDefault="000561A4" w:rsidP="001F5CBD">
      <w:pPr>
        <w:spacing w:before="120" w:after="120"/>
        <w:ind w:left="-360" w:right="-360"/>
        <w:contextualSpacing/>
        <w:rPr>
          <w:sz w:val="24"/>
          <w:szCs w:val="24"/>
        </w:rPr>
      </w:pPr>
    </w:p>
    <w:p w:rsidR="000561A4" w:rsidRDefault="000561A4" w:rsidP="001F5CBD">
      <w:pPr>
        <w:spacing w:before="120" w:after="120"/>
        <w:ind w:left="-360" w:right="-360"/>
        <w:contextualSpacing/>
        <w:rPr>
          <w:sz w:val="24"/>
          <w:szCs w:val="24"/>
        </w:rPr>
      </w:pPr>
    </w:p>
    <w:p w:rsidR="000561A4" w:rsidRDefault="000561A4" w:rsidP="001F5CBD">
      <w:pPr>
        <w:spacing w:before="120" w:after="120"/>
        <w:ind w:left="-360" w:right="-360"/>
        <w:contextualSpacing/>
        <w:rPr>
          <w:sz w:val="24"/>
          <w:szCs w:val="24"/>
        </w:rPr>
      </w:pPr>
    </w:p>
    <w:p w:rsidR="001347B5" w:rsidRPr="006F7D1E" w:rsidRDefault="001347B5" w:rsidP="001347B5">
      <w:pPr>
        <w:spacing w:before="120" w:after="120"/>
        <w:ind w:left="-360" w:right="-360"/>
        <w:contextualSpacing/>
        <w:rPr>
          <w:b/>
          <w:bCs/>
          <w:sz w:val="24"/>
          <w:szCs w:val="24"/>
          <w:u w:val="single"/>
        </w:rPr>
      </w:pPr>
      <w:r w:rsidRPr="00FD76D1">
        <w:rPr>
          <w:b/>
          <w:bCs/>
          <w:sz w:val="24"/>
          <w:szCs w:val="24"/>
          <w:u w:val="single"/>
        </w:rPr>
        <w:t>Inventory</w:t>
      </w:r>
    </w:p>
    <w:p w:rsidR="001347B5" w:rsidRPr="006F7D1E" w:rsidRDefault="001347B5" w:rsidP="001347B5">
      <w:pPr>
        <w:spacing w:before="120" w:after="120"/>
        <w:ind w:left="-360" w:right="-360"/>
        <w:contextualSpacing/>
        <w:rPr>
          <w:sz w:val="24"/>
          <w:szCs w:val="24"/>
        </w:rPr>
      </w:pPr>
      <w:r w:rsidRPr="006F7D1E">
        <w:rPr>
          <w:sz w:val="24"/>
          <w:szCs w:val="24"/>
        </w:rPr>
        <w:t>Seasonally adjusted inventory is calculated by taking the homes available for sale in a given month and</w:t>
      </w:r>
      <w:r w:rsidR="00FE44EA">
        <w:rPr>
          <w:sz w:val="24"/>
          <w:szCs w:val="24"/>
        </w:rPr>
        <w:t xml:space="preserve"> </w:t>
      </w:r>
      <w:r w:rsidRPr="006F7D1E">
        <w:rPr>
          <w:sz w:val="24"/>
          <w:szCs w:val="24"/>
        </w:rPr>
        <w:t xml:space="preserve">comparing them to the past 12 months’ average sales.  This tells us how many months it would take to sell the existing homes on the market. The seasonally adjusted inventory level for </w:t>
      </w:r>
      <w:r w:rsidR="00831BE0">
        <w:rPr>
          <w:sz w:val="24"/>
          <w:szCs w:val="24"/>
        </w:rPr>
        <w:t>July</w:t>
      </w:r>
      <w:r w:rsidRPr="006F7D1E">
        <w:rPr>
          <w:sz w:val="24"/>
          <w:szCs w:val="24"/>
        </w:rPr>
        <w:t xml:space="preserve"> was </w:t>
      </w:r>
      <w:r w:rsidR="000561A4">
        <w:rPr>
          <w:sz w:val="24"/>
          <w:szCs w:val="24"/>
        </w:rPr>
        <w:t>4</w:t>
      </w:r>
      <w:r>
        <w:rPr>
          <w:sz w:val="24"/>
          <w:szCs w:val="24"/>
        </w:rPr>
        <w:t>.</w:t>
      </w:r>
      <w:r w:rsidR="000561A4">
        <w:rPr>
          <w:sz w:val="24"/>
          <w:szCs w:val="24"/>
        </w:rPr>
        <w:t>0 mo</w:t>
      </w:r>
      <w:r>
        <w:rPr>
          <w:sz w:val="24"/>
          <w:szCs w:val="24"/>
        </w:rPr>
        <w:t>nths</w:t>
      </w:r>
      <w:r w:rsidRPr="006F7D1E">
        <w:rPr>
          <w:sz w:val="24"/>
          <w:szCs w:val="24"/>
        </w:rPr>
        <w:t xml:space="preserve">.  The seasonally adjusted level was </w:t>
      </w:r>
      <w:r w:rsidR="000561A4">
        <w:rPr>
          <w:sz w:val="24"/>
          <w:szCs w:val="24"/>
        </w:rPr>
        <w:t>also 4</w:t>
      </w:r>
      <w:r w:rsidR="00FE44EA">
        <w:rPr>
          <w:sz w:val="24"/>
          <w:szCs w:val="24"/>
        </w:rPr>
        <w:t>.</w:t>
      </w:r>
      <w:r w:rsidR="000561A4">
        <w:rPr>
          <w:sz w:val="24"/>
          <w:szCs w:val="24"/>
        </w:rPr>
        <w:t>0</w:t>
      </w:r>
      <w:r w:rsidRPr="006F7D1E">
        <w:rPr>
          <w:sz w:val="24"/>
          <w:szCs w:val="24"/>
        </w:rPr>
        <w:t xml:space="preserve"> months in </w:t>
      </w:r>
      <w:r w:rsidR="00831BE0">
        <w:rPr>
          <w:sz w:val="24"/>
          <w:szCs w:val="24"/>
        </w:rPr>
        <w:t>July</w:t>
      </w:r>
      <w:r w:rsidRPr="006F7D1E">
        <w:rPr>
          <w:sz w:val="24"/>
          <w:szCs w:val="24"/>
        </w:rPr>
        <w:t xml:space="preserve"> 201</w:t>
      </w:r>
      <w:r w:rsidR="00FE44EA">
        <w:rPr>
          <w:sz w:val="24"/>
          <w:szCs w:val="24"/>
        </w:rPr>
        <w:t>8</w:t>
      </w:r>
      <w:r w:rsidRPr="006F7D1E">
        <w:rPr>
          <w:sz w:val="24"/>
          <w:szCs w:val="24"/>
        </w:rPr>
        <w:t>.</w:t>
      </w:r>
    </w:p>
    <w:p w:rsidR="001347B5" w:rsidRDefault="00AB2C89" w:rsidP="001347B5">
      <w:pPr>
        <w:spacing w:before="120" w:after="120"/>
        <w:ind w:left="-360" w:right="-360"/>
        <w:contextualSpacing/>
        <w:rPr>
          <w:sz w:val="24"/>
          <w:szCs w:val="24"/>
        </w:rPr>
      </w:pPr>
      <w:r>
        <w:rPr>
          <w:noProof/>
        </w:rPr>
        <w:drawing>
          <wp:anchor distT="0" distB="0" distL="114300" distR="114300" simplePos="0" relativeHeight="251668480" behindDoc="0" locked="0" layoutInCell="1" allowOverlap="1">
            <wp:simplePos x="0" y="0"/>
            <wp:positionH relativeFrom="column">
              <wp:posOffset>-228600</wp:posOffset>
            </wp:positionH>
            <wp:positionV relativeFrom="paragraph">
              <wp:posOffset>-2540</wp:posOffset>
            </wp:positionV>
            <wp:extent cx="4761442" cy="2953809"/>
            <wp:effectExtent l="0" t="0" r="127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1347B5" w:rsidRDefault="001347B5" w:rsidP="001347B5">
      <w:pPr>
        <w:spacing w:before="120" w:after="120"/>
        <w:ind w:left="-360" w:right="-360"/>
        <w:contextualSpacing/>
        <w:rPr>
          <w:sz w:val="24"/>
          <w:szCs w:val="24"/>
        </w:rPr>
      </w:pPr>
      <w:r w:rsidRPr="006F7D1E">
        <w:rPr>
          <w:sz w:val="24"/>
          <w:szCs w:val="24"/>
        </w:rPr>
        <w:t xml:space="preserve">Generally, </w:t>
      </w:r>
      <w:r w:rsidR="00524132">
        <w:rPr>
          <w:sz w:val="24"/>
          <w:szCs w:val="24"/>
        </w:rPr>
        <w:t>6</w:t>
      </w:r>
      <w:r w:rsidRPr="006F7D1E">
        <w:rPr>
          <w:sz w:val="24"/>
          <w:szCs w:val="24"/>
        </w:rPr>
        <w:t xml:space="preserve"> months of inventory is considered a “balanced” market. If inventory falls below </w:t>
      </w:r>
      <w:r w:rsidR="00524132">
        <w:rPr>
          <w:sz w:val="24"/>
          <w:szCs w:val="24"/>
        </w:rPr>
        <w:t>6</w:t>
      </w:r>
      <w:r w:rsidRPr="006F7D1E">
        <w:rPr>
          <w:sz w:val="24"/>
          <w:szCs w:val="24"/>
        </w:rPr>
        <w:t xml:space="preserve"> months, the market favors sellers; and when inventory exceeds </w:t>
      </w:r>
      <w:r w:rsidR="00524132">
        <w:rPr>
          <w:sz w:val="24"/>
          <w:szCs w:val="24"/>
        </w:rPr>
        <w:t>6</w:t>
      </w:r>
      <w:r w:rsidRPr="006F7D1E">
        <w:rPr>
          <w:sz w:val="24"/>
          <w:szCs w:val="24"/>
        </w:rPr>
        <w:t xml:space="preserve"> months, it is a buyer’s market. </w:t>
      </w:r>
    </w:p>
    <w:p w:rsidR="001347B5" w:rsidRDefault="001347B5" w:rsidP="001347B5">
      <w:pPr>
        <w:spacing w:before="120" w:after="120"/>
        <w:ind w:left="-360" w:right="-360"/>
        <w:contextualSpacing/>
        <w:rPr>
          <w:sz w:val="24"/>
          <w:szCs w:val="24"/>
        </w:rPr>
      </w:pPr>
    </w:p>
    <w:p w:rsidR="001347B5" w:rsidRDefault="001347B5" w:rsidP="001347B5">
      <w:pPr>
        <w:spacing w:before="120" w:after="120"/>
        <w:ind w:left="-360" w:right="-360"/>
        <w:contextualSpacing/>
        <w:rPr>
          <w:sz w:val="24"/>
          <w:szCs w:val="24"/>
        </w:rPr>
      </w:pPr>
      <w:r>
        <w:rPr>
          <w:sz w:val="24"/>
          <w:szCs w:val="24"/>
        </w:rPr>
        <w:t xml:space="preserve">We also calculate inventory by subtracting the listings that have an </w:t>
      </w:r>
      <w:r>
        <w:rPr>
          <w:sz w:val="24"/>
          <w:szCs w:val="24"/>
        </w:rPr>
        <w:lastRenderedPageBreak/>
        <w:t>“active offer” from those available for sale in a given month.  Approximately 8 in 10 listings that buyers place an offer on go on to a complete sale.  This gives us a different perspective of the quantity of homes available on the market.</w:t>
      </w:r>
    </w:p>
    <w:p w:rsidR="001347B5" w:rsidRDefault="001347B5" w:rsidP="001347B5">
      <w:pPr>
        <w:spacing w:before="120" w:after="120"/>
        <w:ind w:left="-360" w:right="-360"/>
        <w:contextualSpacing/>
        <w:rPr>
          <w:sz w:val="24"/>
          <w:szCs w:val="24"/>
        </w:rPr>
      </w:pPr>
    </w:p>
    <w:p w:rsidR="001347B5" w:rsidRDefault="001347B5" w:rsidP="001347B5">
      <w:pPr>
        <w:spacing w:before="120" w:after="120"/>
        <w:ind w:left="-360" w:right="-360"/>
        <w:contextualSpacing/>
        <w:rPr>
          <w:sz w:val="24"/>
          <w:szCs w:val="24"/>
        </w:rPr>
      </w:pPr>
      <w:r>
        <w:rPr>
          <w:sz w:val="24"/>
          <w:szCs w:val="24"/>
        </w:rPr>
        <w:t xml:space="preserve">Subtracting the </w:t>
      </w:r>
      <w:r w:rsidR="00F1598A">
        <w:rPr>
          <w:sz w:val="24"/>
          <w:szCs w:val="24"/>
        </w:rPr>
        <w:t>2</w:t>
      </w:r>
      <w:r>
        <w:rPr>
          <w:sz w:val="24"/>
          <w:szCs w:val="24"/>
        </w:rPr>
        <w:t>,</w:t>
      </w:r>
      <w:r w:rsidR="00884390">
        <w:rPr>
          <w:sz w:val="24"/>
          <w:szCs w:val="24"/>
        </w:rPr>
        <w:t>432</w:t>
      </w:r>
      <w:r>
        <w:rPr>
          <w:sz w:val="24"/>
          <w:szCs w:val="24"/>
        </w:rPr>
        <w:t xml:space="preserve"> listings with an active offer from total current listings presents an effective inventory level of </w:t>
      </w:r>
      <w:r w:rsidR="00884390">
        <w:rPr>
          <w:sz w:val="24"/>
          <w:szCs w:val="24"/>
        </w:rPr>
        <w:t>2</w:t>
      </w:r>
      <w:r w:rsidR="00FE44EA">
        <w:rPr>
          <w:sz w:val="24"/>
          <w:szCs w:val="24"/>
        </w:rPr>
        <w:t>.</w:t>
      </w:r>
      <w:r w:rsidR="00884390">
        <w:rPr>
          <w:sz w:val="24"/>
          <w:szCs w:val="24"/>
        </w:rPr>
        <w:t>1</w:t>
      </w:r>
      <w:r>
        <w:rPr>
          <w:sz w:val="24"/>
          <w:szCs w:val="24"/>
        </w:rPr>
        <w:t xml:space="preserve"> months.  A year ago, the same calculation showed </w:t>
      </w:r>
      <w:r w:rsidR="00831BE0">
        <w:rPr>
          <w:sz w:val="24"/>
          <w:szCs w:val="24"/>
        </w:rPr>
        <w:t>July</w:t>
      </w:r>
      <w:r w:rsidR="00FE44EA">
        <w:rPr>
          <w:sz w:val="24"/>
          <w:szCs w:val="24"/>
        </w:rPr>
        <w:t xml:space="preserve">’s inventory level at </w:t>
      </w:r>
      <w:r w:rsidR="000561A4">
        <w:rPr>
          <w:sz w:val="24"/>
          <w:szCs w:val="24"/>
        </w:rPr>
        <w:t>2</w:t>
      </w:r>
      <w:r>
        <w:rPr>
          <w:sz w:val="24"/>
          <w:szCs w:val="24"/>
        </w:rPr>
        <w:t>.</w:t>
      </w:r>
      <w:r w:rsidR="000561A4">
        <w:rPr>
          <w:sz w:val="24"/>
          <w:szCs w:val="24"/>
        </w:rPr>
        <w:t>2</w:t>
      </w:r>
      <w:r>
        <w:rPr>
          <w:sz w:val="24"/>
          <w:szCs w:val="24"/>
        </w:rPr>
        <w:t xml:space="preserve"> months</w:t>
      </w:r>
      <w:r w:rsidR="00FE44EA">
        <w:rPr>
          <w:sz w:val="24"/>
          <w:szCs w:val="24"/>
        </w:rPr>
        <w:t>.</w:t>
      </w:r>
      <w:r>
        <w:rPr>
          <w:sz w:val="24"/>
          <w:szCs w:val="24"/>
        </w:rPr>
        <w:t xml:space="preserve"> </w:t>
      </w:r>
    </w:p>
    <w:p w:rsidR="000D45BC" w:rsidRDefault="000D45BC" w:rsidP="001F5CBD">
      <w:pPr>
        <w:spacing w:before="120" w:after="120"/>
        <w:ind w:left="-360" w:right="-360"/>
        <w:contextualSpacing/>
        <w:rPr>
          <w:sz w:val="24"/>
          <w:szCs w:val="24"/>
        </w:rPr>
      </w:pPr>
    </w:p>
    <w:p w:rsidR="00127EF0" w:rsidRDefault="00127EF0" w:rsidP="001F5CBD">
      <w:pPr>
        <w:spacing w:before="120" w:after="120"/>
        <w:ind w:left="-360" w:right="-360"/>
        <w:contextualSpacing/>
        <w:jc w:val="both"/>
        <w:rPr>
          <w:b/>
          <w:bCs/>
          <w:sz w:val="24"/>
          <w:szCs w:val="24"/>
          <w:u w:val="single"/>
        </w:rPr>
      </w:pPr>
      <w:r>
        <w:rPr>
          <w:b/>
          <w:bCs/>
          <w:sz w:val="24"/>
          <w:szCs w:val="24"/>
          <w:u w:val="single"/>
        </w:rPr>
        <w:t>Where to go</w:t>
      </w:r>
    </w:p>
    <w:p w:rsidR="00127EF0" w:rsidRDefault="00127EF0" w:rsidP="001F5CBD">
      <w:pPr>
        <w:spacing w:before="120" w:after="120"/>
        <w:ind w:left="-360" w:right="-360"/>
        <w:contextualSpacing/>
        <w:rPr>
          <w:sz w:val="24"/>
          <w:szCs w:val="24"/>
        </w:rPr>
      </w:pPr>
      <w:r>
        <w:rPr>
          <w:sz w:val="24"/>
          <w:szCs w:val="24"/>
        </w:rPr>
        <w:t>Buyers should seek the counsel of a REALTOR® in determining their best housing options, and sellers need a REALTORS® expert advice in making correct marketing decisions with their home</w:t>
      </w:r>
      <w:r w:rsidR="001B4CFE">
        <w:rPr>
          <w:sz w:val="24"/>
          <w:szCs w:val="24"/>
        </w:rPr>
        <w:t>s</w:t>
      </w:r>
      <w:r>
        <w:rPr>
          <w:sz w:val="24"/>
          <w:szCs w:val="24"/>
        </w:rPr>
        <w:t>.</w:t>
      </w:r>
    </w:p>
    <w:p w:rsidR="00127EF0" w:rsidRDefault="00127EF0" w:rsidP="001F5CBD">
      <w:pPr>
        <w:spacing w:before="120" w:after="120"/>
        <w:ind w:left="-360" w:right="-360"/>
        <w:contextualSpacing/>
        <w:rPr>
          <w:sz w:val="24"/>
          <w:szCs w:val="24"/>
        </w:rPr>
      </w:pPr>
    </w:p>
    <w:p w:rsidR="00127EF0" w:rsidRDefault="00127EF0" w:rsidP="001F5CBD">
      <w:pPr>
        <w:spacing w:before="120" w:after="120"/>
        <w:ind w:left="-360" w:right="-360"/>
        <w:contextualSpacing/>
        <w:rPr>
          <w:sz w:val="24"/>
          <w:szCs w:val="24"/>
        </w:rPr>
      </w:pPr>
      <w:r>
        <w:rPr>
          <w:sz w:val="24"/>
          <w:szCs w:val="24"/>
        </w:rPr>
        <w:t>The Greater Milwaukee Association of REALTORS</w:t>
      </w:r>
      <w:r>
        <w:rPr>
          <w:sz w:val="24"/>
          <w:szCs w:val="24"/>
          <w:vertAlign w:val="superscript"/>
        </w:rPr>
        <w:t>®</w:t>
      </w:r>
      <w:r w:rsidR="001E0262">
        <w:rPr>
          <w:sz w:val="24"/>
          <w:szCs w:val="24"/>
        </w:rPr>
        <w:t xml:space="preserve"> is a 4,5</w:t>
      </w:r>
      <w:r>
        <w:rPr>
          <w:sz w:val="24"/>
          <w:szCs w:val="24"/>
        </w:rPr>
        <w:t>00-member strong professional organization dedicated to providing information, services and products to “help REALTORS</w:t>
      </w:r>
      <w:r>
        <w:rPr>
          <w:sz w:val="24"/>
          <w:szCs w:val="24"/>
          <w:vertAlign w:val="superscript"/>
        </w:rPr>
        <w:t>®</w:t>
      </w:r>
      <w:r>
        <w:rPr>
          <w:sz w:val="24"/>
          <w:szCs w:val="24"/>
        </w:rPr>
        <w:t xml:space="preserve"> help their clients” buy and sell real estate.  Data for this report was collected by Metro MLS, Inc. a wholly-owned subsidiary of the GMAR.</w:t>
      </w:r>
    </w:p>
    <w:p w:rsidR="00127EF0" w:rsidRDefault="00127EF0" w:rsidP="001F5CBD">
      <w:pPr>
        <w:spacing w:before="120" w:after="120"/>
        <w:ind w:left="-360" w:right="-360"/>
        <w:contextualSpacing/>
        <w:rPr>
          <w:sz w:val="24"/>
          <w:szCs w:val="24"/>
        </w:rPr>
      </w:pPr>
    </w:p>
    <w:p w:rsidR="000D45BC" w:rsidRPr="009B3EAE" w:rsidRDefault="00127EF0" w:rsidP="009B3EAE">
      <w:pPr>
        <w:spacing w:before="120" w:after="120"/>
        <w:ind w:left="-360" w:right="-360"/>
        <w:contextualSpacing/>
        <w:jc w:val="both"/>
        <w:rPr>
          <w:sz w:val="20"/>
          <w:szCs w:val="20"/>
        </w:rPr>
      </w:pPr>
      <w:r>
        <w:rPr>
          <w:sz w:val="20"/>
          <w:szCs w:val="20"/>
        </w:rPr>
        <w:t>* Sales and Listing figures differ between the “Monthly Stats” and “4th qtr” (or year-end) because the collection of “Monthly Stats” ends on the 10</w:t>
      </w:r>
      <w:r>
        <w:rPr>
          <w:sz w:val="20"/>
          <w:szCs w:val="20"/>
          <w:vertAlign w:val="superscript"/>
        </w:rPr>
        <w:t>th</w:t>
      </w:r>
      <w:r>
        <w:rPr>
          <w:sz w:val="20"/>
          <w:szCs w:val="20"/>
        </w:rPr>
        <w:t xml:space="preserve"> of each month; whereas the “4</w:t>
      </w:r>
      <w:r>
        <w:rPr>
          <w:sz w:val="20"/>
          <w:szCs w:val="20"/>
          <w:vertAlign w:val="superscript"/>
        </w:rPr>
        <w:t>th</w:t>
      </w:r>
      <w:r>
        <w:rPr>
          <w:sz w:val="20"/>
          <w:szCs w:val="20"/>
        </w:rPr>
        <w:t xml:space="preserve"> qtr” is a continuous tally to 12/31.  For example, if a sale occurred on </w:t>
      </w:r>
      <w:r w:rsidR="00831BE0">
        <w:rPr>
          <w:sz w:val="20"/>
          <w:szCs w:val="20"/>
        </w:rPr>
        <w:t>July</w:t>
      </w:r>
      <w:r>
        <w:rPr>
          <w:sz w:val="20"/>
          <w:szCs w:val="20"/>
        </w:rPr>
        <w:t xml:space="preserve"> 29</w:t>
      </w:r>
      <w:r>
        <w:rPr>
          <w:sz w:val="20"/>
          <w:szCs w:val="20"/>
          <w:vertAlign w:val="superscript"/>
        </w:rPr>
        <w:t>th</w:t>
      </w:r>
      <w:r>
        <w:rPr>
          <w:sz w:val="20"/>
          <w:szCs w:val="20"/>
        </w:rPr>
        <w:t xml:space="preserve">, but the agent does not record the sale until </w:t>
      </w:r>
      <w:r w:rsidR="00831BE0">
        <w:rPr>
          <w:sz w:val="20"/>
          <w:szCs w:val="20"/>
        </w:rPr>
        <w:t>July</w:t>
      </w:r>
      <w:r>
        <w:rPr>
          <w:sz w:val="20"/>
          <w:szCs w:val="20"/>
        </w:rPr>
        <w:t xml:space="preserve"> 11</w:t>
      </w:r>
      <w:r>
        <w:rPr>
          <w:sz w:val="20"/>
          <w:szCs w:val="20"/>
          <w:vertAlign w:val="superscript"/>
        </w:rPr>
        <w:t>th</w:t>
      </w:r>
      <w:r>
        <w:rPr>
          <w:sz w:val="20"/>
          <w:szCs w:val="20"/>
        </w:rPr>
        <w:t xml:space="preserve">, that sale would not be included in the </w:t>
      </w:r>
      <w:r w:rsidR="00831BE0">
        <w:rPr>
          <w:sz w:val="20"/>
          <w:szCs w:val="20"/>
        </w:rPr>
        <w:t>July</w:t>
      </w:r>
      <w:r>
        <w:rPr>
          <w:sz w:val="20"/>
          <w:szCs w:val="20"/>
        </w:rPr>
        <w:t xml:space="preserve"> sales figures (or any subsequent month’s total) but would be added to the annual total sales figure in the “4</w:t>
      </w:r>
      <w:r>
        <w:rPr>
          <w:sz w:val="20"/>
          <w:szCs w:val="20"/>
          <w:vertAlign w:val="superscript"/>
        </w:rPr>
        <w:t>th</w:t>
      </w:r>
      <w:r>
        <w:rPr>
          <w:sz w:val="20"/>
          <w:szCs w:val="20"/>
        </w:rPr>
        <w:t xml:space="preserve"> qtr” total.</w:t>
      </w:r>
      <w:bookmarkEnd w:id="0"/>
    </w:p>
    <w:sectPr w:rsidR="000D45BC" w:rsidRPr="009B3EAE" w:rsidSect="00AD053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310FD"/>
    <w:multiLevelType w:val="hybridMultilevel"/>
    <w:tmpl w:val="EB5EFE2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769F0E41"/>
    <w:multiLevelType w:val="hybridMultilevel"/>
    <w:tmpl w:val="EBC21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83"/>
    <w:rsid w:val="0000535B"/>
    <w:rsid w:val="0002203D"/>
    <w:rsid w:val="000231FD"/>
    <w:rsid w:val="00027936"/>
    <w:rsid w:val="00036C88"/>
    <w:rsid w:val="00050EC7"/>
    <w:rsid w:val="000561A4"/>
    <w:rsid w:val="00063605"/>
    <w:rsid w:val="000643AB"/>
    <w:rsid w:val="00085C75"/>
    <w:rsid w:val="000871EE"/>
    <w:rsid w:val="000A3217"/>
    <w:rsid w:val="000D45BC"/>
    <w:rsid w:val="000E6853"/>
    <w:rsid w:val="000F21F9"/>
    <w:rsid w:val="000F44FF"/>
    <w:rsid w:val="00127EF0"/>
    <w:rsid w:val="001312C0"/>
    <w:rsid w:val="001347B5"/>
    <w:rsid w:val="0013524F"/>
    <w:rsid w:val="00153E7F"/>
    <w:rsid w:val="001559E4"/>
    <w:rsid w:val="00156337"/>
    <w:rsid w:val="001710C0"/>
    <w:rsid w:val="00183378"/>
    <w:rsid w:val="00186DB6"/>
    <w:rsid w:val="001A060A"/>
    <w:rsid w:val="001B00EC"/>
    <w:rsid w:val="001B4CFE"/>
    <w:rsid w:val="001B610A"/>
    <w:rsid w:val="001C2406"/>
    <w:rsid w:val="001C62A3"/>
    <w:rsid w:val="001D3B78"/>
    <w:rsid w:val="001E0262"/>
    <w:rsid w:val="001F0911"/>
    <w:rsid w:val="001F5CBD"/>
    <w:rsid w:val="00211BC4"/>
    <w:rsid w:val="0023346D"/>
    <w:rsid w:val="002369FD"/>
    <w:rsid w:val="002460D3"/>
    <w:rsid w:val="00291172"/>
    <w:rsid w:val="002B0C16"/>
    <w:rsid w:val="002C0B6C"/>
    <w:rsid w:val="002F0554"/>
    <w:rsid w:val="003105DB"/>
    <w:rsid w:val="003121D0"/>
    <w:rsid w:val="003176C9"/>
    <w:rsid w:val="00323325"/>
    <w:rsid w:val="00326251"/>
    <w:rsid w:val="0033059A"/>
    <w:rsid w:val="0033551A"/>
    <w:rsid w:val="003639E9"/>
    <w:rsid w:val="003645F8"/>
    <w:rsid w:val="00366609"/>
    <w:rsid w:val="003724B8"/>
    <w:rsid w:val="0038065B"/>
    <w:rsid w:val="00387C56"/>
    <w:rsid w:val="003B1886"/>
    <w:rsid w:val="003C35B1"/>
    <w:rsid w:val="003D65E7"/>
    <w:rsid w:val="003F6C47"/>
    <w:rsid w:val="004217B7"/>
    <w:rsid w:val="0043767C"/>
    <w:rsid w:val="00437E34"/>
    <w:rsid w:val="00470AB1"/>
    <w:rsid w:val="0048406D"/>
    <w:rsid w:val="00486BF3"/>
    <w:rsid w:val="00487AC4"/>
    <w:rsid w:val="004A5FC1"/>
    <w:rsid w:val="004E6E55"/>
    <w:rsid w:val="00501774"/>
    <w:rsid w:val="00503E46"/>
    <w:rsid w:val="00510938"/>
    <w:rsid w:val="0052049F"/>
    <w:rsid w:val="00524132"/>
    <w:rsid w:val="00526222"/>
    <w:rsid w:val="00534DD3"/>
    <w:rsid w:val="0054105F"/>
    <w:rsid w:val="00544E79"/>
    <w:rsid w:val="005508BA"/>
    <w:rsid w:val="00552DBB"/>
    <w:rsid w:val="005533BD"/>
    <w:rsid w:val="005552A3"/>
    <w:rsid w:val="00556E33"/>
    <w:rsid w:val="005637F6"/>
    <w:rsid w:val="00577F84"/>
    <w:rsid w:val="00580AAD"/>
    <w:rsid w:val="00585519"/>
    <w:rsid w:val="0059620F"/>
    <w:rsid w:val="005D6EC3"/>
    <w:rsid w:val="005E4C81"/>
    <w:rsid w:val="005F0E5D"/>
    <w:rsid w:val="00602021"/>
    <w:rsid w:val="006213F9"/>
    <w:rsid w:val="00623E52"/>
    <w:rsid w:val="00627F72"/>
    <w:rsid w:val="00637D71"/>
    <w:rsid w:val="00644CAB"/>
    <w:rsid w:val="00654B2A"/>
    <w:rsid w:val="006744A3"/>
    <w:rsid w:val="0068075F"/>
    <w:rsid w:val="006A1D0C"/>
    <w:rsid w:val="006B1AEE"/>
    <w:rsid w:val="006D13A0"/>
    <w:rsid w:val="006D176A"/>
    <w:rsid w:val="006D3CD7"/>
    <w:rsid w:val="006E60DF"/>
    <w:rsid w:val="006F7D1E"/>
    <w:rsid w:val="00707437"/>
    <w:rsid w:val="00742C85"/>
    <w:rsid w:val="00754539"/>
    <w:rsid w:val="00754FD0"/>
    <w:rsid w:val="0078467D"/>
    <w:rsid w:val="0079199D"/>
    <w:rsid w:val="0079305F"/>
    <w:rsid w:val="007B6D3B"/>
    <w:rsid w:val="007C3727"/>
    <w:rsid w:val="007C40CE"/>
    <w:rsid w:val="007D2108"/>
    <w:rsid w:val="007D5D49"/>
    <w:rsid w:val="007E478A"/>
    <w:rsid w:val="007F41E1"/>
    <w:rsid w:val="00807EDC"/>
    <w:rsid w:val="00815481"/>
    <w:rsid w:val="00817377"/>
    <w:rsid w:val="00822A10"/>
    <w:rsid w:val="00831BE0"/>
    <w:rsid w:val="00853C6E"/>
    <w:rsid w:val="008654F1"/>
    <w:rsid w:val="00884390"/>
    <w:rsid w:val="0089092A"/>
    <w:rsid w:val="0089320B"/>
    <w:rsid w:val="008A6861"/>
    <w:rsid w:val="008A6E66"/>
    <w:rsid w:val="008D51A0"/>
    <w:rsid w:val="008F15EA"/>
    <w:rsid w:val="00902D03"/>
    <w:rsid w:val="0092306F"/>
    <w:rsid w:val="0093295D"/>
    <w:rsid w:val="00945145"/>
    <w:rsid w:val="00945C7F"/>
    <w:rsid w:val="00950D76"/>
    <w:rsid w:val="00950F55"/>
    <w:rsid w:val="009566F0"/>
    <w:rsid w:val="00960659"/>
    <w:rsid w:val="009717AC"/>
    <w:rsid w:val="00973EEB"/>
    <w:rsid w:val="00986E1D"/>
    <w:rsid w:val="009A3885"/>
    <w:rsid w:val="009B397A"/>
    <w:rsid w:val="009B3EAE"/>
    <w:rsid w:val="009B6FCA"/>
    <w:rsid w:val="009D1956"/>
    <w:rsid w:val="009D2241"/>
    <w:rsid w:val="009E7792"/>
    <w:rsid w:val="009F10D6"/>
    <w:rsid w:val="009F1AE5"/>
    <w:rsid w:val="00A017CA"/>
    <w:rsid w:val="00A0790E"/>
    <w:rsid w:val="00A2539A"/>
    <w:rsid w:val="00A25CC3"/>
    <w:rsid w:val="00A344B6"/>
    <w:rsid w:val="00A37F31"/>
    <w:rsid w:val="00A60995"/>
    <w:rsid w:val="00A648D1"/>
    <w:rsid w:val="00A66F2A"/>
    <w:rsid w:val="00A92A94"/>
    <w:rsid w:val="00A96CA0"/>
    <w:rsid w:val="00AB1D2A"/>
    <w:rsid w:val="00AB2C89"/>
    <w:rsid w:val="00AB30DB"/>
    <w:rsid w:val="00AC3065"/>
    <w:rsid w:val="00AD0530"/>
    <w:rsid w:val="00AD4EC8"/>
    <w:rsid w:val="00AE1A13"/>
    <w:rsid w:val="00AF3EAF"/>
    <w:rsid w:val="00B01F83"/>
    <w:rsid w:val="00B062F3"/>
    <w:rsid w:val="00B704CC"/>
    <w:rsid w:val="00B93707"/>
    <w:rsid w:val="00BA70FF"/>
    <w:rsid w:val="00BA71CB"/>
    <w:rsid w:val="00BC1205"/>
    <w:rsid w:val="00BD7407"/>
    <w:rsid w:val="00BE172C"/>
    <w:rsid w:val="00BE5BDE"/>
    <w:rsid w:val="00BF155E"/>
    <w:rsid w:val="00C042A4"/>
    <w:rsid w:val="00C10518"/>
    <w:rsid w:val="00C37BF8"/>
    <w:rsid w:val="00C41C9C"/>
    <w:rsid w:val="00C47808"/>
    <w:rsid w:val="00C5567F"/>
    <w:rsid w:val="00C66FB5"/>
    <w:rsid w:val="00C746BD"/>
    <w:rsid w:val="00C76AED"/>
    <w:rsid w:val="00C919A0"/>
    <w:rsid w:val="00CD08DE"/>
    <w:rsid w:val="00CD626E"/>
    <w:rsid w:val="00D01D6F"/>
    <w:rsid w:val="00D0513E"/>
    <w:rsid w:val="00D11FFF"/>
    <w:rsid w:val="00D27B49"/>
    <w:rsid w:val="00D30CAD"/>
    <w:rsid w:val="00D432FD"/>
    <w:rsid w:val="00D44446"/>
    <w:rsid w:val="00D5287E"/>
    <w:rsid w:val="00D56814"/>
    <w:rsid w:val="00DA2234"/>
    <w:rsid w:val="00DB7C1E"/>
    <w:rsid w:val="00DD184E"/>
    <w:rsid w:val="00E12F08"/>
    <w:rsid w:val="00E22DD1"/>
    <w:rsid w:val="00E2528D"/>
    <w:rsid w:val="00E302C4"/>
    <w:rsid w:val="00E35D19"/>
    <w:rsid w:val="00E56F12"/>
    <w:rsid w:val="00E64AEC"/>
    <w:rsid w:val="00E65340"/>
    <w:rsid w:val="00E8432A"/>
    <w:rsid w:val="00E926DC"/>
    <w:rsid w:val="00E93F72"/>
    <w:rsid w:val="00EA2981"/>
    <w:rsid w:val="00EC64B4"/>
    <w:rsid w:val="00EC789A"/>
    <w:rsid w:val="00ED577D"/>
    <w:rsid w:val="00F041D9"/>
    <w:rsid w:val="00F04E39"/>
    <w:rsid w:val="00F07937"/>
    <w:rsid w:val="00F079C3"/>
    <w:rsid w:val="00F1598A"/>
    <w:rsid w:val="00F27208"/>
    <w:rsid w:val="00F32518"/>
    <w:rsid w:val="00F34C38"/>
    <w:rsid w:val="00F35E94"/>
    <w:rsid w:val="00F4702E"/>
    <w:rsid w:val="00F56E8C"/>
    <w:rsid w:val="00F73353"/>
    <w:rsid w:val="00F81E12"/>
    <w:rsid w:val="00F858D3"/>
    <w:rsid w:val="00F93942"/>
    <w:rsid w:val="00F93B42"/>
    <w:rsid w:val="00F94B2E"/>
    <w:rsid w:val="00FA213D"/>
    <w:rsid w:val="00FC30D6"/>
    <w:rsid w:val="00FD76D1"/>
    <w:rsid w:val="00FE44EA"/>
    <w:rsid w:val="00FF55E8"/>
    <w:rsid w:val="00FF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5BAC1-F34F-4B12-9904-58F3866C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F83"/>
    <w:pPr>
      <w:spacing w:after="0" w:line="240" w:lineRule="auto"/>
    </w:pPr>
  </w:style>
  <w:style w:type="paragraph" w:styleId="Heading3">
    <w:name w:val="heading 3"/>
    <w:basedOn w:val="Normal"/>
    <w:link w:val="Heading3Char"/>
    <w:uiPriority w:val="9"/>
    <w:qFormat/>
    <w:rsid w:val="003105D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1F83"/>
    <w:rPr>
      <w:color w:val="0563C1" w:themeColor="hyperlink"/>
      <w:u w:val="single"/>
    </w:rPr>
  </w:style>
  <w:style w:type="paragraph" w:styleId="BalloonText">
    <w:name w:val="Balloon Text"/>
    <w:basedOn w:val="Normal"/>
    <w:link w:val="BalloonTextChar"/>
    <w:uiPriority w:val="99"/>
    <w:semiHidden/>
    <w:unhideWhenUsed/>
    <w:rsid w:val="00323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325"/>
    <w:rPr>
      <w:rFonts w:ascii="Segoe UI" w:hAnsi="Segoe UI" w:cs="Segoe UI"/>
      <w:sz w:val="18"/>
      <w:szCs w:val="18"/>
    </w:rPr>
  </w:style>
  <w:style w:type="character" w:styleId="Emphasis">
    <w:name w:val="Emphasis"/>
    <w:basedOn w:val="DefaultParagraphFont"/>
    <w:uiPriority w:val="20"/>
    <w:qFormat/>
    <w:rsid w:val="003105DB"/>
    <w:rPr>
      <w:i/>
      <w:iCs/>
    </w:rPr>
  </w:style>
  <w:style w:type="character" w:customStyle="1" w:styleId="Heading3Char">
    <w:name w:val="Heading 3 Char"/>
    <w:basedOn w:val="DefaultParagraphFont"/>
    <w:link w:val="Heading3"/>
    <w:uiPriority w:val="9"/>
    <w:rsid w:val="003105D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105DB"/>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7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98304">
      <w:bodyDiv w:val="1"/>
      <w:marLeft w:val="0"/>
      <w:marRight w:val="0"/>
      <w:marTop w:val="0"/>
      <w:marBottom w:val="0"/>
      <w:divBdr>
        <w:top w:val="none" w:sz="0" w:space="0" w:color="auto"/>
        <w:left w:val="none" w:sz="0" w:space="0" w:color="auto"/>
        <w:bottom w:val="none" w:sz="0" w:space="0" w:color="auto"/>
        <w:right w:val="none" w:sz="0" w:space="0" w:color="auto"/>
      </w:divBdr>
    </w:div>
    <w:div w:id="809322476">
      <w:bodyDiv w:val="1"/>
      <w:marLeft w:val="0"/>
      <w:marRight w:val="0"/>
      <w:marTop w:val="0"/>
      <w:marBottom w:val="0"/>
      <w:divBdr>
        <w:top w:val="none" w:sz="0" w:space="0" w:color="auto"/>
        <w:left w:val="none" w:sz="0" w:space="0" w:color="auto"/>
        <w:bottom w:val="none" w:sz="0" w:space="0" w:color="auto"/>
        <w:right w:val="none" w:sz="0" w:space="0" w:color="auto"/>
      </w:divBdr>
    </w:div>
    <w:div w:id="859507291">
      <w:bodyDiv w:val="1"/>
      <w:marLeft w:val="0"/>
      <w:marRight w:val="0"/>
      <w:marTop w:val="0"/>
      <w:marBottom w:val="0"/>
      <w:divBdr>
        <w:top w:val="none" w:sz="0" w:space="0" w:color="auto"/>
        <w:left w:val="none" w:sz="0" w:space="0" w:color="auto"/>
        <w:bottom w:val="none" w:sz="0" w:space="0" w:color="auto"/>
        <w:right w:val="none" w:sz="0" w:space="0" w:color="auto"/>
      </w:divBdr>
    </w:div>
    <w:div w:id="984774028">
      <w:bodyDiv w:val="1"/>
      <w:marLeft w:val="0"/>
      <w:marRight w:val="0"/>
      <w:marTop w:val="0"/>
      <w:marBottom w:val="0"/>
      <w:divBdr>
        <w:top w:val="none" w:sz="0" w:space="0" w:color="auto"/>
        <w:left w:val="none" w:sz="0" w:space="0" w:color="auto"/>
        <w:bottom w:val="none" w:sz="0" w:space="0" w:color="auto"/>
        <w:right w:val="none" w:sz="0" w:space="0" w:color="auto"/>
      </w:divBdr>
    </w:div>
    <w:div w:id="1414355857">
      <w:bodyDiv w:val="1"/>
      <w:marLeft w:val="0"/>
      <w:marRight w:val="0"/>
      <w:marTop w:val="0"/>
      <w:marBottom w:val="0"/>
      <w:divBdr>
        <w:top w:val="none" w:sz="0" w:space="0" w:color="auto"/>
        <w:left w:val="none" w:sz="0" w:space="0" w:color="auto"/>
        <w:bottom w:val="none" w:sz="0" w:space="0" w:color="auto"/>
        <w:right w:val="none" w:sz="0" w:space="0" w:color="auto"/>
      </w:divBdr>
    </w:div>
    <w:div w:id="1445222968">
      <w:bodyDiv w:val="1"/>
      <w:marLeft w:val="0"/>
      <w:marRight w:val="0"/>
      <w:marTop w:val="0"/>
      <w:marBottom w:val="0"/>
      <w:divBdr>
        <w:top w:val="none" w:sz="0" w:space="0" w:color="auto"/>
        <w:left w:val="none" w:sz="0" w:space="0" w:color="auto"/>
        <w:bottom w:val="none" w:sz="0" w:space="0" w:color="auto"/>
        <w:right w:val="none" w:sz="0" w:space="0" w:color="auto"/>
      </w:divBdr>
    </w:div>
    <w:div w:id="1627539154">
      <w:bodyDiv w:val="1"/>
      <w:marLeft w:val="0"/>
      <w:marRight w:val="0"/>
      <w:marTop w:val="0"/>
      <w:marBottom w:val="0"/>
      <w:divBdr>
        <w:top w:val="none" w:sz="0" w:space="0" w:color="auto"/>
        <w:left w:val="none" w:sz="0" w:space="0" w:color="auto"/>
        <w:bottom w:val="none" w:sz="0" w:space="0" w:color="auto"/>
        <w:right w:val="none" w:sz="0" w:space="0" w:color="auto"/>
      </w:divBdr>
    </w:div>
    <w:div w:id="1666938611">
      <w:bodyDiv w:val="1"/>
      <w:marLeft w:val="0"/>
      <w:marRight w:val="0"/>
      <w:marTop w:val="0"/>
      <w:marBottom w:val="0"/>
      <w:divBdr>
        <w:top w:val="none" w:sz="0" w:space="0" w:color="auto"/>
        <w:left w:val="none" w:sz="0" w:space="0" w:color="auto"/>
        <w:bottom w:val="none" w:sz="0" w:space="0" w:color="auto"/>
        <w:right w:val="none" w:sz="0" w:space="0" w:color="auto"/>
      </w:divBdr>
    </w:div>
    <w:div w:id="1719818471">
      <w:bodyDiv w:val="1"/>
      <w:marLeft w:val="0"/>
      <w:marRight w:val="0"/>
      <w:marTop w:val="0"/>
      <w:marBottom w:val="0"/>
      <w:divBdr>
        <w:top w:val="none" w:sz="0" w:space="0" w:color="auto"/>
        <w:left w:val="none" w:sz="0" w:space="0" w:color="auto"/>
        <w:bottom w:val="none" w:sz="0" w:space="0" w:color="auto"/>
        <w:right w:val="none" w:sz="0" w:space="0" w:color="auto"/>
      </w:divBdr>
    </w:div>
    <w:div w:id="2031178944">
      <w:bodyDiv w:val="1"/>
      <w:marLeft w:val="0"/>
      <w:marRight w:val="0"/>
      <w:marTop w:val="0"/>
      <w:marBottom w:val="0"/>
      <w:divBdr>
        <w:top w:val="none" w:sz="0" w:space="0" w:color="auto"/>
        <w:left w:val="none" w:sz="0" w:space="0" w:color="auto"/>
        <w:bottom w:val="none" w:sz="0" w:space="0" w:color="auto"/>
        <w:right w:val="none" w:sz="0" w:space="0" w:color="auto"/>
      </w:divBdr>
    </w:div>
    <w:div w:id="207998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mike@gmar.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ke@gmar.ws"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ike.GMAR\Dropbox\GMAR\001%20-%20MLS%20Statistical%20Histor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panose="020F0502020204030204" pitchFamily="34" charset="0"/>
                <a:ea typeface="+mn-ea"/>
                <a:cs typeface="+mn-cs"/>
              </a:defRPr>
            </a:pPr>
            <a:r>
              <a:rPr lang="en-US"/>
              <a:t>Inventory </a:t>
            </a:r>
            <a:r>
              <a:rPr lang="en-US" sz="900"/>
              <a:t>(units left</a:t>
            </a:r>
            <a:r>
              <a:rPr lang="en-US" sz="900" baseline="0"/>
              <a:t> side)</a:t>
            </a:r>
            <a:endParaRPr lang="en-US" sz="900"/>
          </a:p>
        </c:rich>
      </c:tx>
      <c:layout>
        <c:manualLayout>
          <c:xMode val="edge"/>
          <c:yMode val="edge"/>
          <c:x val="0.3380089467360593"/>
          <c:y val="3.497265168530832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panose="020F0502020204030204" pitchFamily="34" charset="0"/>
              <a:ea typeface="+mn-ea"/>
              <a:cs typeface="+mn-cs"/>
            </a:defRPr>
          </a:pPr>
          <a:endParaRPr lang="en-US"/>
        </a:p>
      </c:txPr>
    </c:title>
    <c:autoTitleDeleted val="0"/>
    <c:plotArea>
      <c:layout>
        <c:manualLayout>
          <c:layoutTarget val="inner"/>
          <c:xMode val="edge"/>
          <c:yMode val="edge"/>
          <c:x val="9.8977998681911913E-2"/>
          <c:y val="0.14728474319091048"/>
          <c:w val="0.83530976540300172"/>
          <c:h val="0.61226301362071822"/>
        </c:manualLayout>
      </c:layout>
      <c:areaChart>
        <c:grouping val="stacked"/>
        <c:varyColors val="0"/>
        <c:ser>
          <c:idx val="0"/>
          <c:order val="0"/>
          <c:tx>
            <c:strRef>
              <c:f>'Monthly Stats Data'!$A$139</c:f>
              <c:strCache>
                <c:ptCount val="1"/>
                <c:pt idx="0">
                  <c:v>Current Active (Net)</c:v>
                </c:pt>
              </c:strCache>
            </c:strRef>
          </c:tx>
          <c:spPr>
            <a:solidFill>
              <a:schemeClr val="accent5">
                <a:shade val="65000"/>
              </a:schemeClr>
            </a:solidFill>
            <a:ln>
              <a:noFill/>
            </a:ln>
            <a:effectLst/>
          </c:spPr>
          <c:cat>
            <c:strRef>
              <c:f>'Monthly Stats Data'!$B$137:$N$137</c:f>
              <c:strCache>
                <c:ptCount val="13"/>
                <c:pt idx="0">
                  <c:v>July</c:v>
                </c:pt>
                <c:pt idx="1">
                  <c:v>August</c:v>
                </c:pt>
                <c:pt idx="2">
                  <c:v>Sept</c:v>
                </c:pt>
                <c:pt idx="3">
                  <c:v>Oct</c:v>
                </c:pt>
                <c:pt idx="4">
                  <c:v>Nov</c:v>
                </c:pt>
                <c:pt idx="5">
                  <c:v>Dec</c:v>
                </c:pt>
                <c:pt idx="6">
                  <c:v>Jan </c:v>
                </c:pt>
                <c:pt idx="7">
                  <c:v>Feb</c:v>
                </c:pt>
                <c:pt idx="8">
                  <c:v>March</c:v>
                </c:pt>
                <c:pt idx="9">
                  <c:v>April</c:v>
                </c:pt>
                <c:pt idx="10">
                  <c:v>May</c:v>
                </c:pt>
                <c:pt idx="11">
                  <c:v>June</c:v>
                </c:pt>
                <c:pt idx="12">
                  <c:v>July</c:v>
                </c:pt>
              </c:strCache>
            </c:strRef>
          </c:cat>
          <c:val>
            <c:numRef>
              <c:f>'Monthly Stats Data'!$B$139:$N$139</c:f>
              <c:numCache>
                <c:formatCode>_(* #,##0_);_(* \(#,##0\);_(* "-"??_);_(@_)</c:formatCode>
                <c:ptCount val="13"/>
                <c:pt idx="0">
                  <c:v>4526</c:v>
                </c:pt>
                <c:pt idx="1">
                  <c:v>5005</c:v>
                </c:pt>
                <c:pt idx="2">
                  <c:v>5057</c:v>
                </c:pt>
                <c:pt idx="3">
                  <c:v>5007</c:v>
                </c:pt>
                <c:pt idx="4">
                  <c:v>4583</c:v>
                </c:pt>
                <c:pt idx="5">
                  <c:v>3897</c:v>
                </c:pt>
                <c:pt idx="6">
                  <c:v>3389</c:v>
                </c:pt>
                <c:pt idx="7">
                  <c:v>3132</c:v>
                </c:pt>
                <c:pt idx="8">
                  <c:v>3233</c:v>
                </c:pt>
                <c:pt idx="9">
                  <c:v>3338</c:v>
                </c:pt>
                <c:pt idx="10">
                  <c:v>3571</c:v>
                </c:pt>
                <c:pt idx="11">
                  <c:v>4183</c:v>
                </c:pt>
                <c:pt idx="12">
                  <c:v>4255</c:v>
                </c:pt>
              </c:numCache>
            </c:numRef>
          </c:val>
        </c:ser>
        <c:ser>
          <c:idx val="1"/>
          <c:order val="1"/>
          <c:tx>
            <c:strRef>
              <c:f>'Monthly Stats Data'!$A$140</c:f>
              <c:strCache>
                <c:ptCount val="1"/>
                <c:pt idx="0">
                  <c:v>Active With Offer</c:v>
                </c:pt>
              </c:strCache>
            </c:strRef>
          </c:tx>
          <c:spPr>
            <a:solidFill>
              <a:schemeClr val="accent5"/>
            </a:solidFill>
            <a:ln>
              <a:noFill/>
            </a:ln>
            <a:effectLst/>
          </c:spPr>
          <c:cat>
            <c:strRef>
              <c:f>'Monthly Stats Data'!$B$137:$N$137</c:f>
              <c:strCache>
                <c:ptCount val="13"/>
                <c:pt idx="0">
                  <c:v>July</c:v>
                </c:pt>
                <c:pt idx="1">
                  <c:v>August</c:v>
                </c:pt>
                <c:pt idx="2">
                  <c:v>Sept</c:v>
                </c:pt>
                <c:pt idx="3">
                  <c:v>Oct</c:v>
                </c:pt>
                <c:pt idx="4">
                  <c:v>Nov</c:v>
                </c:pt>
                <c:pt idx="5">
                  <c:v>Dec</c:v>
                </c:pt>
                <c:pt idx="6">
                  <c:v>Jan </c:v>
                </c:pt>
                <c:pt idx="7">
                  <c:v>Feb</c:v>
                </c:pt>
                <c:pt idx="8">
                  <c:v>March</c:v>
                </c:pt>
                <c:pt idx="9">
                  <c:v>April</c:v>
                </c:pt>
                <c:pt idx="10">
                  <c:v>May</c:v>
                </c:pt>
                <c:pt idx="11">
                  <c:v>June</c:v>
                </c:pt>
                <c:pt idx="12">
                  <c:v>July</c:v>
                </c:pt>
              </c:strCache>
            </c:strRef>
          </c:cat>
          <c:val>
            <c:numRef>
              <c:f>'Monthly Stats Data'!$B$140:$N$140</c:f>
              <c:numCache>
                <c:formatCode>_(* #,##0_);_(* \(#,##0\);_(* "-"??_);_(@_)</c:formatCode>
                <c:ptCount val="13"/>
                <c:pt idx="0">
                  <c:v>2369</c:v>
                </c:pt>
                <c:pt idx="1">
                  <c:v>2095</c:v>
                </c:pt>
                <c:pt idx="2">
                  <c:v>1840</c:v>
                </c:pt>
                <c:pt idx="3">
                  <c:v>1670</c:v>
                </c:pt>
                <c:pt idx="4">
                  <c:v>1330</c:v>
                </c:pt>
                <c:pt idx="5">
                  <c:v>1101</c:v>
                </c:pt>
                <c:pt idx="6">
                  <c:v>1631</c:v>
                </c:pt>
                <c:pt idx="7">
                  <c:v>1768</c:v>
                </c:pt>
                <c:pt idx="8">
                  <c:v>2321</c:v>
                </c:pt>
                <c:pt idx="9">
                  <c:v>2644</c:v>
                </c:pt>
                <c:pt idx="10">
                  <c:v>2867</c:v>
                </c:pt>
                <c:pt idx="11">
                  <c:v>2587</c:v>
                </c:pt>
                <c:pt idx="12">
                  <c:v>2432</c:v>
                </c:pt>
              </c:numCache>
            </c:numRef>
          </c:val>
        </c:ser>
        <c:dLbls>
          <c:showLegendKey val="0"/>
          <c:showVal val="0"/>
          <c:showCatName val="0"/>
          <c:showSerName val="0"/>
          <c:showPercent val="0"/>
          <c:showBubbleSize val="0"/>
        </c:dLbls>
        <c:axId val="424119352"/>
        <c:axId val="231653992"/>
      </c:areaChart>
      <c:lineChart>
        <c:grouping val="standard"/>
        <c:varyColors val="0"/>
        <c:ser>
          <c:idx val="2"/>
          <c:order val="2"/>
          <c:tx>
            <c:strRef>
              <c:f>'Monthly Stats Data'!$A$141</c:f>
              <c:strCache>
                <c:ptCount val="1"/>
                <c:pt idx="0">
                  <c:v>Mos of Inventory (right)</c:v>
                </c:pt>
              </c:strCache>
            </c:strRef>
          </c:tx>
          <c:spPr>
            <a:ln w="28575" cap="rnd">
              <a:solidFill>
                <a:sysClr val="windowText" lastClr="000000"/>
              </a:solidFill>
              <a:round/>
            </a:ln>
            <a:effectLst/>
          </c:spPr>
          <c:marker>
            <c:symbol val="none"/>
          </c:marker>
          <c:cat>
            <c:strRef>
              <c:f>'Monthly Stats Data'!$B$137:$N$137</c:f>
              <c:strCache>
                <c:ptCount val="13"/>
                <c:pt idx="0">
                  <c:v>July</c:v>
                </c:pt>
                <c:pt idx="1">
                  <c:v>August</c:v>
                </c:pt>
                <c:pt idx="2">
                  <c:v>Sept</c:v>
                </c:pt>
                <c:pt idx="3">
                  <c:v>Oct</c:v>
                </c:pt>
                <c:pt idx="4">
                  <c:v>Nov</c:v>
                </c:pt>
                <c:pt idx="5">
                  <c:v>Dec</c:v>
                </c:pt>
                <c:pt idx="6">
                  <c:v>Jan </c:v>
                </c:pt>
                <c:pt idx="7">
                  <c:v>Feb</c:v>
                </c:pt>
                <c:pt idx="8">
                  <c:v>March</c:v>
                </c:pt>
                <c:pt idx="9">
                  <c:v>April</c:v>
                </c:pt>
                <c:pt idx="10">
                  <c:v>May</c:v>
                </c:pt>
                <c:pt idx="11">
                  <c:v>June</c:v>
                </c:pt>
                <c:pt idx="12">
                  <c:v>July</c:v>
                </c:pt>
              </c:strCache>
            </c:strRef>
          </c:cat>
          <c:val>
            <c:numRef>
              <c:f>'Monthly Stats Data'!$B$141:$N$141</c:f>
              <c:numCache>
                <c:formatCode>0.0</c:formatCode>
                <c:ptCount val="13"/>
                <c:pt idx="0">
                  <c:v>2.2000000000000002</c:v>
                </c:pt>
                <c:pt idx="1">
                  <c:v>2.2999999999999998</c:v>
                </c:pt>
                <c:pt idx="2">
                  <c:v>2.4</c:v>
                </c:pt>
                <c:pt idx="3">
                  <c:v>2.2000000000000002</c:v>
                </c:pt>
                <c:pt idx="4">
                  <c:v>2</c:v>
                </c:pt>
                <c:pt idx="5">
                  <c:v>1.7</c:v>
                </c:pt>
                <c:pt idx="6">
                  <c:v>1.6</c:v>
                </c:pt>
                <c:pt idx="7">
                  <c:v>1.6</c:v>
                </c:pt>
                <c:pt idx="8">
                  <c:v>1.6</c:v>
                </c:pt>
                <c:pt idx="9">
                  <c:v>1.6</c:v>
                </c:pt>
                <c:pt idx="10">
                  <c:v>1.8</c:v>
                </c:pt>
                <c:pt idx="11">
                  <c:v>1.9</c:v>
                </c:pt>
                <c:pt idx="12">
                  <c:v>2.1</c:v>
                </c:pt>
              </c:numCache>
            </c:numRef>
          </c:val>
          <c:smooth val="0"/>
        </c:ser>
        <c:dLbls>
          <c:showLegendKey val="0"/>
          <c:showVal val="0"/>
          <c:showCatName val="0"/>
          <c:showSerName val="0"/>
          <c:showPercent val="0"/>
          <c:showBubbleSize val="0"/>
        </c:dLbls>
        <c:marker val="1"/>
        <c:smooth val="0"/>
        <c:axId val="231654776"/>
        <c:axId val="231654384"/>
      </c:lineChart>
      <c:catAx>
        <c:axId val="424119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crossAx val="231653992"/>
        <c:crosses val="autoZero"/>
        <c:auto val="1"/>
        <c:lblAlgn val="ctr"/>
        <c:lblOffset val="100"/>
        <c:noMultiLvlLbl val="0"/>
      </c:catAx>
      <c:valAx>
        <c:axId val="23165399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crossAx val="424119352"/>
        <c:crosses val="autoZero"/>
        <c:crossBetween val="between"/>
      </c:valAx>
      <c:valAx>
        <c:axId val="231654384"/>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crossAx val="231654776"/>
        <c:crosses val="max"/>
        <c:crossBetween val="between"/>
      </c:valAx>
      <c:catAx>
        <c:axId val="231654776"/>
        <c:scaling>
          <c:orientation val="minMax"/>
        </c:scaling>
        <c:delete val="1"/>
        <c:axPos val="b"/>
        <c:numFmt formatCode="General" sourceLinked="1"/>
        <c:majorTickMark val="out"/>
        <c:minorTickMark val="none"/>
        <c:tickLblPos val="nextTo"/>
        <c:crossAx val="231654384"/>
        <c:crosses val="autoZero"/>
        <c:auto val="1"/>
        <c:lblAlgn val="ctr"/>
        <c:lblOffset val="100"/>
        <c:noMultiLvlLbl val="0"/>
      </c:catAx>
      <c:spPr>
        <a:noFill/>
        <a:ln>
          <a:solidFill>
            <a:schemeClr val="tx2">
              <a:lumMod val="60000"/>
              <a:lumOff val="4000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baseline="0">
          <a:latin typeface="Calibri" panose="020F0502020204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173863-2EC1-42AE-84BB-8616F4FBD678}">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1368</TotalTime>
  <Pages>3</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6</cp:revision>
  <cp:lastPrinted>2019-06-10T20:33:00Z</cp:lastPrinted>
  <dcterms:created xsi:type="dcterms:W3CDTF">2019-08-09T20:57:00Z</dcterms:created>
  <dcterms:modified xsi:type="dcterms:W3CDTF">2019-08-13T16:05:00Z</dcterms:modified>
</cp:coreProperties>
</file>