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374C" w14:textId="77777777" w:rsidR="00127EF0" w:rsidRDefault="001F5CBD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72F19A8" wp14:editId="54F81760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A59371" wp14:editId="07164087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9E22D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632C9" wp14:editId="17C74E9F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E2A34" w14:textId="77777777" w:rsidR="001F5CBD" w:rsidRPr="00A66F2A" w:rsidRDefault="001F5CBD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14:paraId="34A5E801" w14:textId="77777777" w:rsidR="001F5CBD" w:rsidRPr="00A66F2A" w:rsidRDefault="001F5CBD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14:paraId="5BC24368" w14:textId="77777777" w:rsidR="001F5CBD" w:rsidRPr="00A66F2A" w:rsidRDefault="001F5CBD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14:paraId="46A0CCD7" w14:textId="77777777" w:rsidR="001F5CBD" w:rsidRPr="001F5CBD" w:rsidRDefault="00E83629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6" w:history="1">
                              <w:r w:rsidR="001F5CBD" w:rsidRPr="00A66F2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mike@gmar.ws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B632C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" adj="17065" fillcolor="#1f4d78 [1604]" strokecolor="#1f4d78 [1604]" strokeweight="1pt">
                <v:textbox>
                  <w:txbxContent>
                    <w:p w14:paraId="5FFE2A34" w14:textId="77777777" w:rsidR="001F5CBD" w:rsidRPr="00A66F2A" w:rsidRDefault="001F5CBD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14:paraId="34A5E801" w14:textId="77777777" w:rsidR="001F5CBD" w:rsidRPr="00A66F2A" w:rsidRDefault="001F5CBD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14:paraId="5BC24368" w14:textId="77777777" w:rsidR="001F5CBD" w:rsidRPr="00A66F2A" w:rsidRDefault="001F5CBD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14:paraId="46A0CCD7" w14:textId="77777777" w:rsidR="001F5CBD" w:rsidRPr="001F5CBD" w:rsidRDefault="00E83629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7" w:history="1">
                        <w:r w:rsidR="001F5CBD" w:rsidRPr="00A66F2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mike@gmar.ws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67F027AA" w14:textId="77777777" w:rsidR="00127EF0" w:rsidRDefault="00127EF0" w:rsidP="00127EF0">
      <w:pPr>
        <w:rPr>
          <w:sz w:val="24"/>
          <w:szCs w:val="24"/>
        </w:rPr>
      </w:pPr>
    </w:p>
    <w:p w14:paraId="032E826C" w14:textId="77777777" w:rsidR="00127EF0" w:rsidRDefault="00127EF0" w:rsidP="00127EF0">
      <w:pPr>
        <w:rPr>
          <w:sz w:val="24"/>
          <w:szCs w:val="24"/>
        </w:rPr>
      </w:pPr>
    </w:p>
    <w:p w14:paraId="2A4E1EA9" w14:textId="77777777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11FB006F" w14:textId="77777777" w:rsidR="001F5CBD" w:rsidRDefault="001F5CBD" w:rsidP="00127EF0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654C4DEE" w14:textId="77777777" w:rsidR="001F5CBD" w:rsidRDefault="001F5CBD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3B5698B9" w14:textId="620101AD" w:rsidR="00127EF0" w:rsidRPr="001F5CBD" w:rsidRDefault="00712ABB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72"/>
          <w:szCs w:val="72"/>
        </w:rPr>
      </w:pPr>
      <w:r>
        <w:rPr>
          <w:rFonts w:ascii="Arial Narrow" w:hAnsi="Arial Narrow"/>
          <w:b/>
          <w:bCs/>
          <w:sz w:val="72"/>
          <w:szCs w:val="72"/>
        </w:rPr>
        <w:t>October</w:t>
      </w:r>
      <w:r w:rsidR="00127EF0" w:rsidRPr="001F5CBD">
        <w:rPr>
          <w:rFonts w:ascii="Arial Narrow" w:hAnsi="Arial Narrow"/>
          <w:b/>
          <w:bCs/>
          <w:sz w:val="72"/>
          <w:szCs w:val="72"/>
        </w:rPr>
        <w:t xml:space="preserve"> Home Sales </w:t>
      </w:r>
      <w:r w:rsidR="00D30CAD">
        <w:rPr>
          <w:rFonts w:ascii="Arial Narrow" w:hAnsi="Arial Narrow"/>
          <w:b/>
          <w:bCs/>
          <w:sz w:val="72"/>
          <w:szCs w:val="72"/>
        </w:rPr>
        <w:t>Up</w:t>
      </w:r>
      <w:r w:rsidR="00D01D6F">
        <w:rPr>
          <w:rFonts w:ascii="Arial Narrow" w:hAnsi="Arial Narrow"/>
          <w:b/>
          <w:bCs/>
          <w:sz w:val="72"/>
          <w:szCs w:val="72"/>
        </w:rPr>
        <w:t xml:space="preserve"> </w:t>
      </w:r>
      <w:r>
        <w:rPr>
          <w:rFonts w:ascii="Arial Narrow" w:hAnsi="Arial Narrow"/>
          <w:b/>
          <w:bCs/>
          <w:sz w:val="72"/>
          <w:szCs w:val="72"/>
        </w:rPr>
        <w:t>7.9</w:t>
      </w:r>
      <w:r w:rsidR="00127EF0" w:rsidRPr="001F5CBD">
        <w:rPr>
          <w:rFonts w:ascii="Arial Narrow" w:hAnsi="Arial Narrow"/>
          <w:b/>
          <w:bCs/>
          <w:sz w:val="72"/>
          <w:szCs w:val="72"/>
        </w:rPr>
        <w:t>%</w:t>
      </w:r>
    </w:p>
    <w:p w14:paraId="042DD551" w14:textId="77777777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0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</w:tblGrid>
      <w:tr w:rsidR="00E302C4" w14:paraId="2A538051" w14:textId="77777777" w:rsidTr="00F93B42">
        <w:trPr>
          <w:trHeight w:val="495"/>
        </w:trPr>
        <w:tc>
          <w:tcPr>
            <w:tcW w:w="5160" w:type="dxa"/>
            <w:vAlign w:val="center"/>
          </w:tcPr>
          <w:p w14:paraId="6D5D2B50" w14:textId="77777777" w:rsidR="00E302C4" w:rsidRPr="00E302C4" w:rsidRDefault="00E302C4" w:rsidP="00E302C4">
            <w:pPr>
              <w:spacing w:before="120" w:after="120"/>
              <w:ind w:left="-115" w:right="-360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302C4">
              <w:rPr>
                <w:rFonts w:ascii="Arial Narrow" w:hAnsi="Arial Narrow"/>
                <w:b/>
                <w:bCs/>
                <w:sz w:val="24"/>
                <w:szCs w:val="24"/>
              </w:rPr>
              <w:t>Market Highlights</w:t>
            </w:r>
          </w:p>
        </w:tc>
      </w:tr>
      <w:tr w:rsidR="00E302C4" w14:paraId="0A01E8CB" w14:textId="77777777" w:rsidTr="00F93B42">
        <w:trPr>
          <w:trHeight w:hRule="exact" w:val="375"/>
        </w:trPr>
        <w:tc>
          <w:tcPr>
            <w:tcW w:w="5160" w:type="dxa"/>
            <w:shd w:val="clear" w:color="auto" w:fill="DEEAF6" w:themeFill="accent1" w:themeFillTint="33"/>
            <w:vAlign w:val="center"/>
          </w:tcPr>
          <w:p w14:paraId="606E7EC3" w14:textId="0B743BE5" w:rsidR="00E302C4" w:rsidRPr="00577F84" w:rsidRDefault="00712ABB" w:rsidP="00884390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9A4249">
              <w:rPr>
                <w:sz w:val="24"/>
                <w:szCs w:val="24"/>
              </w:rPr>
              <w:t xml:space="preserve"> Listings </w:t>
            </w:r>
            <w:r w:rsidR="00BC4E28">
              <w:rPr>
                <w:sz w:val="24"/>
                <w:szCs w:val="24"/>
              </w:rPr>
              <w:t>Up</w:t>
            </w:r>
            <w:r w:rsidR="009A4249">
              <w:rPr>
                <w:sz w:val="24"/>
                <w:szCs w:val="24"/>
              </w:rPr>
              <w:t xml:space="preserve"> </w:t>
            </w:r>
            <w:r w:rsidR="00BC4E28">
              <w:rPr>
                <w:sz w:val="24"/>
                <w:szCs w:val="24"/>
              </w:rPr>
              <w:t>5</w:t>
            </w:r>
            <w:r w:rsidR="009A4249">
              <w:rPr>
                <w:sz w:val="24"/>
                <w:szCs w:val="24"/>
              </w:rPr>
              <w:t>.</w:t>
            </w:r>
            <w:r w:rsidR="00BC4E28">
              <w:rPr>
                <w:sz w:val="24"/>
                <w:szCs w:val="24"/>
              </w:rPr>
              <w:t>3</w:t>
            </w:r>
            <w:r w:rsidR="009A4249">
              <w:rPr>
                <w:sz w:val="24"/>
                <w:szCs w:val="24"/>
              </w:rPr>
              <w:t>%</w:t>
            </w:r>
          </w:p>
        </w:tc>
      </w:tr>
      <w:tr w:rsidR="00E302C4" w14:paraId="3B3511FC" w14:textId="77777777" w:rsidTr="00F93B42">
        <w:trPr>
          <w:trHeight w:hRule="exact" w:val="375"/>
        </w:trPr>
        <w:tc>
          <w:tcPr>
            <w:tcW w:w="5160" w:type="dxa"/>
            <w:shd w:val="clear" w:color="auto" w:fill="DEEAF6" w:themeFill="accent1" w:themeFillTint="33"/>
            <w:vAlign w:val="center"/>
          </w:tcPr>
          <w:p w14:paraId="064C6115" w14:textId="1EEF9326" w:rsidR="00E302C4" w:rsidRPr="00577F84" w:rsidRDefault="0018763A" w:rsidP="00982D3B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Fixer-Uppers Are a Good Option</w:t>
            </w:r>
          </w:p>
        </w:tc>
      </w:tr>
      <w:tr w:rsidR="00E302C4" w14:paraId="57D91716" w14:textId="77777777" w:rsidTr="00F93B42">
        <w:trPr>
          <w:trHeight w:hRule="exact" w:val="375"/>
        </w:trPr>
        <w:tc>
          <w:tcPr>
            <w:tcW w:w="5160" w:type="dxa"/>
            <w:shd w:val="clear" w:color="auto" w:fill="DEEAF6" w:themeFill="accent1" w:themeFillTint="33"/>
            <w:vAlign w:val="center"/>
          </w:tcPr>
          <w:p w14:paraId="7DFFC297" w14:textId="353D0E47" w:rsidR="00E302C4" w:rsidRDefault="00BC4E28" w:rsidP="0089092A">
            <w:pPr>
              <w:pStyle w:val="ListParagraph"/>
              <w:numPr>
                <w:ilvl w:val="0"/>
                <w:numId w:val="3"/>
              </w:numPr>
              <w:spacing w:after="120"/>
              <w:ind w:left="240" w:right="-360" w:hanging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Year End Will Be Close to Last 3 Years</w:t>
            </w:r>
          </w:p>
        </w:tc>
      </w:tr>
    </w:tbl>
    <w:p w14:paraId="3E578720" w14:textId="77777777"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14:paraId="3EE7B230" w14:textId="77777777"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14:paraId="59ABB3ED" w14:textId="77777777"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14:paraId="2B2278CB" w14:textId="77777777"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14:paraId="6480DA96" w14:textId="77777777" w:rsidR="00577F84" w:rsidRDefault="00577F84" w:rsidP="001F5CBD">
      <w:pPr>
        <w:spacing w:before="120" w:after="120"/>
        <w:ind w:left="-360" w:right="-360"/>
        <w:contextualSpacing/>
        <w:rPr>
          <w:b/>
          <w:bCs/>
          <w:sz w:val="24"/>
          <w:szCs w:val="24"/>
        </w:rPr>
      </w:pPr>
    </w:p>
    <w:p w14:paraId="3E4E9A56" w14:textId="77777777" w:rsidR="00E302C4" w:rsidRDefault="00E302C4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6883BA05" w14:textId="77777777" w:rsidR="00E302C4" w:rsidRDefault="00E302C4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2084376C" w14:textId="1FB7790D" w:rsidR="00AB2C89" w:rsidRDefault="00712ABB" w:rsidP="005533BD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Nov</w:t>
      </w:r>
      <w:r w:rsidR="00526B69">
        <w:rPr>
          <w:sz w:val="24"/>
          <w:szCs w:val="24"/>
        </w:rPr>
        <w:t>ember 1</w:t>
      </w:r>
      <w:r>
        <w:rPr>
          <w:sz w:val="24"/>
          <w:szCs w:val="24"/>
        </w:rPr>
        <w:t>2</w:t>
      </w:r>
      <w:r w:rsidR="00127EF0">
        <w:rPr>
          <w:sz w:val="24"/>
          <w:szCs w:val="24"/>
        </w:rPr>
        <w:t>, 201</w:t>
      </w:r>
      <w:r w:rsidR="00366609">
        <w:rPr>
          <w:sz w:val="24"/>
          <w:szCs w:val="24"/>
        </w:rPr>
        <w:t>9</w:t>
      </w:r>
      <w:r w:rsidR="00127EF0">
        <w:rPr>
          <w:sz w:val="24"/>
          <w:szCs w:val="24"/>
        </w:rPr>
        <w:t xml:space="preserve"> – Home sales were </w:t>
      </w:r>
      <w:r w:rsidR="00F93B42">
        <w:rPr>
          <w:sz w:val="24"/>
          <w:szCs w:val="24"/>
        </w:rPr>
        <w:t>up</w:t>
      </w:r>
      <w:r w:rsidR="0068075F">
        <w:rPr>
          <w:sz w:val="24"/>
          <w:szCs w:val="24"/>
        </w:rPr>
        <w:t xml:space="preserve"> </w:t>
      </w:r>
      <w:r w:rsidR="00526B69">
        <w:rPr>
          <w:sz w:val="24"/>
          <w:szCs w:val="24"/>
        </w:rPr>
        <w:t xml:space="preserve">a solid </w:t>
      </w:r>
      <w:r w:rsidR="00BC4E28">
        <w:rPr>
          <w:sz w:val="24"/>
          <w:szCs w:val="24"/>
        </w:rPr>
        <w:t>7.9</w:t>
      </w:r>
      <w:r w:rsidR="00526B69">
        <w:rPr>
          <w:sz w:val="24"/>
          <w:szCs w:val="24"/>
        </w:rPr>
        <w:t>%</w:t>
      </w:r>
      <w:r w:rsidR="00036C88">
        <w:rPr>
          <w:sz w:val="24"/>
          <w:szCs w:val="24"/>
        </w:rPr>
        <w:t xml:space="preserve"> </w:t>
      </w:r>
      <w:r w:rsidR="009717AC">
        <w:rPr>
          <w:sz w:val="24"/>
          <w:szCs w:val="24"/>
        </w:rPr>
        <w:t xml:space="preserve">in </w:t>
      </w:r>
      <w:r>
        <w:rPr>
          <w:sz w:val="24"/>
          <w:szCs w:val="24"/>
        </w:rPr>
        <w:t>October</w:t>
      </w:r>
      <w:r w:rsidR="00FE44EA">
        <w:rPr>
          <w:sz w:val="24"/>
          <w:szCs w:val="24"/>
        </w:rPr>
        <w:t xml:space="preserve"> compared to a year earlier</w:t>
      </w:r>
      <w:r w:rsidR="00AB2C89">
        <w:rPr>
          <w:sz w:val="24"/>
          <w:szCs w:val="24"/>
        </w:rPr>
        <w:t xml:space="preserve"> in the 4 county greater Milwaukee market</w:t>
      </w:r>
      <w:r w:rsidR="003C35B1">
        <w:rPr>
          <w:sz w:val="24"/>
          <w:szCs w:val="24"/>
        </w:rPr>
        <w:t xml:space="preserve">. There were </w:t>
      </w:r>
      <w:r w:rsidR="00BC4E28">
        <w:rPr>
          <w:sz w:val="24"/>
          <w:szCs w:val="24"/>
        </w:rPr>
        <w:t>1</w:t>
      </w:r>
      <w:r w:rsidR="00F32518">
        <w:rPr>
          <w:sz w:val="24"/>
          <w:szCs w:val="24"/>
        </w:rPr>
        <w:t>,</w:t>
      </w:r>
      <w:r w:rsidR="00BC4E28">
        <w:rPr>
          <w:sz w:val="24"/>
          <w:szCs w:val="24"/>
        </w:rPr>
        <w:t>835</w:t>
      </w:r>
      <w:r w:rsidR="00F32518">
        <w:rPr>
          <w:sz w:val="24"/>
          <w:szCs w:val="24"/>
        </w:rPr>
        <w:t xml:space="preserve"> </w:t>
      </w:r>
      <w:r w:rsidR="003C35B1">
        <w:rPr>
          <w:sz w:val="24"/>
          <w:szCs w:val="24"/>
        </w:rPr>
        <w:t xml:space="preserve">homes sold in </w:t>
      </w:r>
      <w:r>
        <w:rPr>
          <w:sz w:val="24"/>
          <w:szCs w:val="24"/>
        </w:rPr>
        <w:t>October</w:t>
      </w:r>
      <w:r w:rsidR="003C35B1">
        <w:rPr>
          <w:sz w:val="24"/>
          <w:szCs w:val="24"/>
        </w:rPr>
        <w:t xml:space="preserve"> 2019, versus </w:t>
      </w:r>
      <w:r w:rsidR="00BC4E28">
        <w:rPr>
          <w:sz w:val="24"/>
          <w:szCs w:val="24"/>
        </w:rPr>
        <w:t>1</w:t>
      </w:r>
      <w:r w:rsidR="00F32518">
        <w:rPr>
          <w:sz w:val="24"/>
          <w:szCs w:val="24"/>
        </w:rPr>
        <w:t>,</w:t>
      </w:r>
      <w:r w:rsidR="00BC4E28">
        <w:rPr>
          <w:sz w:val="24"/>
          <w:szCs w:val="24"/>
        </w:rPr>
        <w:t>700</w:t>
      </w:r>
      <w:r w:rsidR="00F32518">
        <w:rPr>
          <w:sz w:val="24"/>
          <w:szCs w:val="24"/>
        </w:rPr>
        <w:t xml:space="preserve"> </w:t>
      </w:r>
      <w:r w:rsidR="003C35B1">
        <w:rPr>
          <w:sz w:val="24"/>
          <w:szCs w:val="24"/>
        </w:rPr>
        <w:t xml:space="preserve">units in </w:t>
      </w:r>
      <w:r>
        <w:rPr>
          <w:sz w:val="24"/>
          <w:szCs w:val="24"/>
        </w:rPr>
        <w:t>October</w:t>
      </w:r>
      <w:r w:rsidR="003C35B1">
        <w:rPr>
          <w:sz w:val="24"/>
          <w:szCs w:val="24"/>
        </w:rPr>
        <w:t xml:space="preserve"> 2018.</w:t>
      </w:r>
    </w:p>
    <w:tbl>
      <w:tblPr>
        <w:tblpPr w:leftFromText="180" w:rightFromText="180" w:bottomFromText="115" w:vertAnchor="text" w:horzAnchor="margin" w:tblpX="-360" w:tblpY="96"/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869"/>
        <w:gridCol w:w="870"/>
        <w:gridCol w:w="1108"/>
        <w:gridCol w:w="123"/>
      </w:tblGrid>
      <w:tr w:rsidR="00526222" w:rsidRPr="00C41C9C" w14:paraId="6D5CCC9D" w14:textId="77777777" w:rsidTr="0038065B">
        <w:trPr>
          <w:trHeight w:val="432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EE967" w14:textId="23221D8B" w:rsidR="00526222" w:rsidRPr="00754FD0" w:rsidRDefault="00712ABB" w:rsidP="00526222">
            <w:pPr>
              <w:spacing w:line="252" w:lineRule="auto"/>
              <w:ind w:left="-108" w:right="85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October</w:t>
            </w:r>
            <w:r w:rsidR="00526222" w:rsidRPr="00754FD0">
              <w:rPr>
                <w:rFonts w:ascii="Arial Narrow" w:hAnsi="Arial Narrow"/>
                <w:b/>
                <w:sz w:val="24"/>
                <w:szCs w:val="24"/>
              </w:rPr>
              <w:t xml:space="preserve"> Sales</w:t>
            </w:r>
          </w:p>
        </w:tc>
      </w:tr>
      <w:tr w:rsidR="00526222" w:rsidRPr="00C41C9C" w14:paraId="1629F752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 w:themeFill="accent1" w:themeFillShade="80"/>
            <w:vAlign w:val="center"/>
            <w:hideMark/>
          </w:tcPr>
          <w:p w14:paraId="1C2285B8" w14:textId="77777777" w:rsidR="00526222" w:rsidRPr="00754FD0" w:rsidRDefault="00526222" w:rsidP="00526222">
            <w:pPr>
              <w:ind w:left="175" w:right="100"/>
              <w:rPr>
                <w:b/>
                <w:color w:val="FFFFFF" w:themeColor="background1"/>
              </w:rPr>
            </w:pPr>
            <w:r w:rsidRPr="00754FD0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869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9FDC" w14:textId="77777777" w:rsidR="00526222" w:rsidRPr="00754FD0" w:rsidRDefault="00526222" w:rsidP="00526222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87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1A7B8" w14:textId="77777777" w:rsidR="00526222" w:rsidRPr="00754FD0" w:rsidRDefault="00526222" w:rsidP="00526222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108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 w:themeFill="accent1" w:themeFillShade="80"/>
            <w:vAlign w:val="center"/>
          </w:tcPr>
          <w:p w14:paraId="347C0DCB" w14:textId="77777777" w:rsidR="00526222" w:rsidRPr="00754FD0" w:rsidRDefault="00526222" w:rsidP="00526222">
            <w:pPr>
              <w:ind w:left="89" w:right="90"/>
              <w:jc w:val="center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% Change</w:t>
            </w:r>
          </w:p>
        </w:tc>
      </w:tr>
      <w:tr w:rsidR="00526222" w:rsidRPr="00C41C9C" w14:paraId="6A6773F2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1BEB5" w14:textId="77777777" w:rsidR="00526222" w:rsidRPr="00C41C9C" w:rsidRDefault="00526222" w:rsidP="00526222">
            <w:pPr>
              <w:spacing w:line="252" w:lineRule="auto"/>
              <w:ind w:left="62" w:right="100"/>
            </w:pPr>
            <w:r w:rsidRPr="00C41C9C">
              <w:t>Milwaukee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FE0F41" w14:textId="5C9F4A15" w:rsidR="00526222" w:rsidRPr="00C41C9C" w:rsidRDefault="00712ABB" w:rsidP="00526B69">
            <w:pPr>
              <w:spacing w:line="252" w:lineRule="auto"/>
              <w:ind w:left="44" w:right="62"/>
            </w:pPr>
            <w:r>
              <w:t>901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9C00DD" w14:textId="33F471E8" w:rsidR="00526222" w:rsidRPr="00C41C9C" w:rsidRDefault="00712ABB" w:rsidP="00526B69">
            <w:pPr>
              <w:spacing w:line="252" w:lineRule="auto"/>
              <w:ind w:right="-23"/>
            </w:pPr>
            <w:r>
              <w:t>995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9E65E" w14:textId="2E58C4DA" w:rsidR="00526222" w:rsidRPr="00C41C9C" w:rsidRDefault="00712ABB" w:rsidP="00526B69">
            <w:pPr>
              <w:spacing w:line="252" w:lineRule="auto"/>
              <w:ind w:right="445"/>
              <w:jc w:val="right"/>
            </w:pPr>
            <w:r>
              <w:t>10</w:t>
            </w:r>
            <w:r w:rsidR="009F1AE5">
              <w:t>.</w:t>
            </w:r>
            <w:r>
              <w:t>5</w:t>
            </w:r>
            <w:r w:rsidR="00526222" w:rsidRPr="00C41C9C">
              <w:t>%</w:t>
            </w:r>
          </w:p>
        </w:tc>
      </w:tr>
      <w:tr w:rsidR="00526222" w:rsidRPr="00C41C9C" w14:paraId="59206A3A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7F5EA" w14:textId="77777777" w:rsidR="00526222" w:rsidRPr="00C41C9C" w:rsidRDefault="00526222" w:rsidP="00526222">
            <w:pPr>
              <w:spacing w:line="252" w:lineRule="auto"/>
              <w:ind w:left="62" w:right="100"/>
            </w:pPr>
            <w:r w:rsidRPr="00C41C9C">
              <w:t>Waukesha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D42C" w14:textId="61F39534" w:rsidR="00526222" w:rsidRPr="00C41C9C" w:rsidRDefault="00712ABB" w:rsidP="00526B69">
            <w:pPr>
              <w:spacing w:line="252" w:lineRule="auto"/>
              <w:ind w:left="44" w:right="62"/>
            </w:pPr>
            <w:r>
              <w:t>516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55E5F" w14:textId="6BE06870" w:rsidR="00526222" w:rsidRPr="00C41C9C" w:rsidRDefault="00712ABB" w:rsidP="00526B69">
            <w:pPr>
              <w:spacing w:line="252" w:lineRule="auto"/>
              <w:ind w:right="-23"/>
            </w:pPr>
            <w:r>
              <w:t>521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207239CE" w14:textId="61CC1513" w:rsidR="00526222" w:rsidRPr="00C41C9C" w:rsidRDefault="00712ABB" w:rsidP="00526B69">
            <w:pPr>
              <w:spacing w:line="252" w:lineRule="auto"/>
              <w:ind w:right="445"/>
              <w:jc w:val="right"/>
            </w:pPr>
            <w:r>
              <w:t>1.0</w:t>
            </w:r>
            <w:r w:rsidR="00526222" w:rsidRPr="00C41C9C">
              <w:t>%</w:t>
            </w:r>
          </w:p>
        </w:tc>
      </w:tr>
      <w:tr w:rsidR="00526222" w:rsidRPr="00C41C9C" w14:paraId="27228478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981D78" w14:textId="77777777" w:rsidR="00526222" w:rsidRPr="00C41C9C" w:rsidRDefault="00526222" w:rsidP="00526222">
            <w:pPr>
              <w:spacing w:line="252" w:lineRule="auto"/>
              <w:ind w:left="62" w:right="100"/>
            </w:pPr>
            <w:r w:rsidRPr="00C41C9C">
              <w:t>Washington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5BBD" w14:textId="6B5DADC9" w:rsidR="00526222" w:rsidRPr="00C41C9C" w:rsidRDefault="00712ABB" w:rsidP="00526222">
            <w:pPr>
              <w:spacing w:line="252" w:lineRule="auto"/>
              <w:ind w:left="44" w:right="62"/>
            </w:pPr>
            <w:r>
              <w:t>175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F1EA7" w14:textId="6C933E55" w:rsidR="00526222" w:rsidRPr="00C41C9C" w:rsidRDefault="00712ABB" w:rsidP="00526222">
            <w:pPr>
              <w:spacing w:line="252" w:lineRule="auto"/>
              <w:ind w:right="-23"/>
            </w:pPr>
            <w:r>
              <w:t>185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7C0F7" w14:textId="7BF60D14" w:rsidR="00526222" w:rsidRPr="00C41C9C" w:rsidRDefault="00712ABB" w:rsidP="00526B69">
            <w:pPr>
              <w:spacing w:line="252" w:lineRule="auto"/>
              <w:ind w:right="445"/>
              <w:jc w:val="right"/>
            </w:pPr>
            <w:r>
              <w:t>5</w:t>
            </w:r>
            <w:r w:rsidR="009F1AE5">
              <w:t>.</w:t>
            </w:r>
            <w:r>
              <w:t>7</w:t>
            </w:r>
            <w:r w:rsidR="00526222" w:rsidRPr="00C41C9C">
              <w:t>%</w:t>
            </w:r>
          </w:p>
        </w:tc>
      </w:tr>
      <w:tr w:rsidR="00526222" w:rsidRPr="00C41C9C" w14:paraId="545417A6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0C709" w14:textId="77777777" w:rsidR="00526222" w:rsidRPr="00C41C9C" w:rsidRDefault="00526222" w:rsidP="00526222">
            <w:pPr>
              <w:spacing w:line="252" w:lineRule="auto"/>
              <w:ind w:left="62" w:right="100"/>
            </w:pPr>
            <w:r w:rsidRPr="00C41C9C">
              <w:t>Ozaukee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09423" w14:textId="4FF83FBC" w:rsidR="00526222" w:rsidRPr="00C41C9C" w:rsidRDefault="00712ABB" w:rsidP="00526222">
            <w:pPr>
              <w:spacing w:line="252" w:lineRule="auto"/>
              <w:ind w:left="44" w:right="62"/>
            </w:pPr>
            <w:r>
              <w:t>108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FE3E6" w14:textId="450E7E4C" w:rsidR="00526222" w:rsidRPr="00C41C9C" w:rsidRDefault="00712ABB" w:rsidP="00526B69">
            <w:pPr>
              <w:spacing w:line="252" w:lineRule="auto"/>
              <w:ind w:right="-23"/>
            </w:pPr>
            <w:r>
              <w:t>134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E36B896" w14:textId="3241863C" w:rsidR="00526222" w:rsidRPr="00C41C9C" w:rsidRDefault="00712ABB" w:rsidP="00526B69">
            <w:pPr>
              <w:spacing w:line="252" w:lineRule="auto"/>
              <w:ind w:right="445"/>
              <w:jc w:val="right"/>
            </w:pPr>
            <w:r>
              <w:t>24</w:t>
            </w:r>
            <w:r w:rsidR="009F1AE5">
              <w:t>.</w:t>
            </w:r>
            <w:r>
              <w:t>1</w:t>
            </w:r>
            <w:r w:rsidR="00526222" w:rsidRPr="00C41C9C">
              <w:t>%</w:t>
            </w:r>
          </w:p>
        </w:tc>
      </w:tr>
      <w:tr w:rsidR="00526222" w:rsidRPr="00C41C9C" w14:paraId="685D4984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C2E3F" w14:textId="77777777" w:rsidR="00526222" w:rsidRPr="00C41C9C" w:rsidRDefault="00526222" w:rsidP="00526222">
            <w:pPr>
              <w:spacing w:line="252" w:lineRule="auto"/>
              <w:ind w:left="62" w:right="100"/>
            </w:pPr>
            <w:r w:rsidRPr="00C41C9C">
              <w:t>4 County Area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F2CB" w14:textId="112A662A" w:rsidR="00526222" w:rsidRPr="00C41C9C" w:rsidRDefault="00712ABB" w:rsidP="00AA0F14">
            <w:pPr>
              <w:spacing w:line="252" w:lineRule="auto"/>
              <w:ind w:left="44" w:right="62"/>
            </w:pPr>
            <w:r>
              <w:t>1</w:t>
            </w:r>
            <w:r w:rsidR="009F1AE5">
              <w:t>,</w:t>
            </w:r>
            <w:r>
              <w:t>700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D094C" w14:textId="1572F1DA" w:rsidR="00526222" w:rsidRPr="00C41C9C" w:rsidRDefault="00712ABB" w:rsidP="00AA0F14">
            <w:pPr>
              <w:spacing w:line="252" w:lineRule="auto"/>
              <w:ind w:right="-23"/>
            </w:pPr>
            <w:r>
              <w:t>1</w:t>
            </w:r>
            <w:r w:rsidR="00526222">
              <w:t>,</w:t>
            </w:r>
            <w:r>
              <w:t>835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813F" w14:textId="020495AC" w:rsidR="00526222" w:rsidRPr="00C41C9C" w:rsidRDefault="00712ABB" w:rsidP="00AA0F14">
            <w:pPr>
              <w:spacing w:line="252" w:lineRule="auto"/>
              <w:ind w:right="445"/>
              <w:jc w:val="right"/>
            </w:pPr>
            <w:r>
              <w:t>7</w:t>
            </w:r>
            <w:r w:rsidR="00526222">
              <w:t>.</w:t>
            </w:r>
            <w:r>
              <w:t>9</w:t>
            </w:r>
            <w:r w:rsidR="00526222" w:rsidRPr="00C41C9C">
              <w:t>%</w:t>
            </w:r>
          </w:p>
        </w:tc>
      </w:tr>
      <w:tr w:rsidR="00526222" w:rsidRPr="00C41C9C" w14:paraId="2B5A3328" w14:textId="77777777" w:rsidTr="0038065B">
        <w:trPr>
          <w:gridAfter w:val="1"/>
          <w:wAfter w:w="123" w:type="dxa"/>
          <w:trHeight w:val="179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41EA" w14:textId="77777777" w:rsidR="00526222" w:rsidRPr="00156337" w:rsidRDefault="00526222" w:rsidP="00526222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F9C9B" w14:textId="77777777" w:rsidR="00526222" w:rsidRPr="00156337" w:rsidRDefault="00526222" w:rsidP="00526222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9DAE" w14:textId="77777777" w:rsidR="00526222" w:rsidRPr="00156337" w:rsidRDefault="00526222" w:rsidP="00526222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0F8FEF7" w14:textId="77777777" w:rsidR="00526222" w:rsidRPr="00156337" w:rsidRDefault="00526222" w:rsidP="00526222">
            <w:pPr>
              <w:spacing w:line="252" w:lineRule="auto"/>
              <w:ind w:right="445"/>
              <w:jc w:val="right"/>
              <w:rPr>
                <w:sz w:val="10"/>
                <w:szCs w:val="10"/>
              </w:rPr>
            </w:pPr>
          </w:p>
        </w:tc>
      </w:tr>
      <w:tr w:rsidR="00526222" w:rsidRPr="00C41C9C" w14:paraId="444077C9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94ED0" w14:textId="77777777" w:rsidR="00526222" w:rsidRPr="00C41C9C" w:rsidRDefault="00526222" w:rsidP="00526222">
            <w:pPr>
              <w:spacing w:line="252" w:lineRule="auto"/>
              <w:ind w:left="62" w:right="100"/>
            </w:pPr>
            <w:r>
              <w:t>Racine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4DC3" w14:textId="5F0AB8FB" w:rsidR="00526222" w:rsidRDefault="00712ABB" w:rsidP="00526222">
            <w:pPr>
              <w:spacing w:line="252" w:lineRule="auto"/>
              <w:ind w:left="44" w:right="62"/>
            </w:pPr>
            <w:r>
              <w:t>255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127A0" w14:textId="5780E89E" w:rsidR="00526222" w:rsidRDefault="00712ABB" w:rsidP="00AA0F14">
            <w:pPr>
              <w:spacing w:line="252" w:lineRule="auto"/>
              <w:ind w:right="-23"/>
            </w:pPr>
            <w:r>
              <w:t>227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A13A6" w14:textId="2DD74FDD" w:rsidR="00526222" w:rsidRDefault="00712ABB" w:rsidP="00AA0F14">
            <w:pPr>
              <w:spacing w:line="252" w:lineRule="auto"/>
              <w:ind w:right="445"/>
              <w:jc w:val="right"/>
            </w:pPr>
            <w:r>
              <w:t>-11</w:t>
            </w:r>
            <w:r w:rsidR="009F1AE5">
              <w:t>.</w:t>
            </w:r>
            <w:r>
              <w:t>0</w:t>
            </w:r>
            <w:r w:rsidR="00526222">
              <w:t>%</w:t>
            </w:r>
          </w:p>
        </w:tc>
      </w:tr>
      <w:tr w:rsidR="00526222" w:rsidRPr="00C41C9C" w14:paraId="417475CB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0217F" w14:textId="77777777" w:rsidR="00526222" w:rsidRDefault="00526222" w:rsidP="00526222">
            <w:pPr>
              <w:spacing w:line="252" w:lineRule="auto"/>
              <w:ind w:left="62" w:right="100"/>
            </w:pPr>
            <w:r>
              <w:t>Kenosha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21047" w14:textId="2B49B2FC" w:rsidR="00526222" w:rsidRDefault="00712ABB" w:rsidP="00526222">
            <w:pPr>
              <w:spacing w:line="252" w:lineRule="auto"/>
              <w:ind w:left="44" w:right="62"/>
            </w:pPr>
            <w:r>
              <w:t>200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5979" w14:textId="6AB4858E" w:rsidR="00526222" w:rsidRDefault="00712ABB" w:rsidP="00AA0F14">
            <w:pPr>
              <w:spacing w:line="252" w:lineRule="auto"/>
              <w:ind w:right="-23"/>
            </w:pPr>
            <w:r>
              <w:t>201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3E403D17" w14:textId="52D4B48F" w:rsidR="00526222" w:rsidRDefault="00712ABB" w:rsidP="00AA0F14">
            <w:pPr>
              <w:spacing w:line="252" w:lineRule="auto"/>
              <w:ind w:right="445"/>
              <w:jc w:val="right"/>
            </w:pPr>
            <w:r>
              <w:t>0</w:t>
            </w:r>
            <w:r w:rsidR="00526222">
              <w:t>.</w:t>
            </w:r>
            <w:r>
              <w:t>5</w:t>
            </w:r>
            <w:r w:rsidR="00526222">
              <w:t>%</w:t>
            </w:r>
          </w:p>
        </w:tc>
      </w:tr>
      <w:tr w:rsidR="00526222" w:rsidRPr="00C41C9C" w14:paraId="196B438C" w14:textId="77777777" w:rsidTr="0038065B">
        <w:trPr>
          <w:gridAfter w:val="1"/>
          <w:wAfter w:w="123" w:type="dxa"/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7CFCE" w14:textId="77777777" w:rsidR="00526222" w:rsidRDefault="00526222" w:rsidP="00526222">
            <w:pPr>
              <w:spacing w:line="252" w:lineRule="auto"/>
              <w:ind w:left="62" w:right="100"/>
            </w:pPr>
            <w:r>
              <w:t>Walworth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BCA43" w14:textId="1F0A589B" w:rsidR="00526222" w:rsidRDefault="00712ABB" w:rsidP="00526222">
            <w:pPr>
              <w:spacing w:line="252" w:lineRule="auto"/>
              <w:ind w:left="44" w:right="62"/>
            </w:pPr>
            <w:r>
              <w:t>188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1733" w14:textId="762B922A" w:rsidR="00526222" w:rsidRDefault="00712ABB" w:rsidP="00526222">
            <w:pPr>
              <w:spacing w:line="252" w:lineRule="auto"/>
              <w:ind w:right="-23"/>
            </w:pPr>
            <w:r>
              <w:t>184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5D579" w14:textId="5FF26C93" w:rsidR="00526222" w:rsidRDefault="00712ABB" w:rsidP="00AA0F14">
            <w:pPr>
              <w:spacing w:line="252" w:lineRule="auto"/>
              <w:ind w:right="445"/>
              <w:jc w:val="right"/>
            </w:pPr>
            <w:r>
              <w:t>-2</w:t>
            </w:r>
            <w:r w:rsidR="00526222">
              <w:t>.</w:t>
            </w:r>
            <w:r>
              <w:t>1</w:t>
            </w:r>
            <w:r w:rsidR="00526222">
              <w:t>%</w:t>
            </w:r>
          </w:p>
        </w:tc>
      </w:tr>
    </w:tbl>
    <w:p w14:paraId="1C259FE5" w14:textId="65D01B48" w:rsidR="00D56814" w:rsidRDefault="00712ABB" w:rsidP="00D56814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October</w:t>
      </w:r>
      <w:r w:rsidR="00982D3B">
        <w:rPr>
          <w:sz w:val="24"/>
          <w:szCs w:val="24"/>
        </w:rPr>
        <w:t xml:space="preserve"> marked the </w:t>
      </w:r>
      <w:r w:rsidR="00BC4E28">
        <w:rPr>
          <w:sz w:val="24"/>
          <w:szCs w:val="24"/>
        </w:rPr>
        <w:t>fifth</w:t>
      </w:r>
      <w:r w:rsidR="00982D3B">
        <w:rPr>
          <w:sz w:val="24"/>
          <w:szCs w:val="24"/>
        </w:rPr>
        <w:t xml:space="preserve"> </w:t>
      </w:r>
      <w:r w:rsidR="00BC4E28">
        <w:rPr>
          <w:sz w:val="24"/>
          <w:szCs w:val="24"/>
        </w:rPr>
        <w:t xml:space="preserve">month of </w:t>
      </w:r>
      <w:r w:rsidR="00982D3B">
        <w:rPr>
          <w:sz w:val="24"/>
          <w:szCs w:val="24"/>
        </w:rPr>
        <w:t xml:space="preserve">positive sales in 2019. </w:t>
      </w:r>
      <w:r w:rsidR="00BC4E28">
        <w:rPr>
          <w:sz w:val="24"/>
          <w:szCs w:val="24"/>
        </w:rPr>
        <w:t xml:space="preserve">All </w:t>
      </w:r>
      <w:r w:rsidR="00AA0F14">
        <w:rPr>
          <w:sz w:val="24"/>
          <w:szCs w:val="24"/>
        </w:rPr>
        <w:t>4</w:t>
      </w:r>
      <w:r w:rsidR="0043767C">
        <w:rPr>
          <w:sz w:val="24"/>
          <w:szCs w:val="24"/>
        </w:rPr>
        <w:t xml:space="preserve"> </w:t>
      </w:r>
      <w:r w:rsidR="00BC4E28">
        <w:rPr>
          <w:sz w:val="24"/>
          <w:szCs w:val="24"/>
        </w:rPr>
        <w:t xml:space="preserve">metropolitan </w:t>
      </w:r>
      <w:r w:rsidR="0043767C">
        <w:rPr>
          <w:sz w:val="24"/>
          <w:szCs w:val="24"/>
        </w:rPr>
        <w:t>counties had healthy sales.</w:t>
      </w:r>
    </w:p>
    <w:p w14:paraId="6A73D740" w14:textId="77777777" w:rsidR="0043767C" w:rsidRDefault="0043767C" w:rsidP="00637D71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7A882FC3" w14:textId="30209DFE" w:rsidR="00963F99" w:rsidRDefault="00963F99" w:rsidP="00637D71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At t</w:t>
      </w:r>
      <w:r w:rsidR="00566209">
        <w:rPr>
          <w:sz w:val="24"/>
          <w:szCs w:val="24"/>
        </w:rPr>
        <w:t xml:space="preserve">his point in the annual cycle </w:t>
      </w:r>
      <w:r>
        <w:rPr>
          <w:sz w:val="24"/>
          <w:szCs w:val="24"/>
        </w:rPr>
        <w:t xml:space="preserve">we </w:t>
      </w:r>
      <w:r w:rsidR="00566209">
        <w:rPr>
          <w:sz w:val="24"/>
          <w:szCs w:val="24"/>
        </w:rPr>
        <w:t xml:space="preserve">often see sales trail off, but with </w:t>
      </w:r>
      <w:r>
        <w:rPr>
          <w:sz w:val="24"/>
          <w:szCs w:val="24"/>
        </w:rPr>
        <w:t xml:space="preserve">listings up in September and October there were </w:t>
      </w:r>
      <w:r w:rsidR="00E83629">
        <w:rPr>
          <w:sz w:val="24"/>
          <w:szCs w:val="24"/>
        </w:rPr>
        <w:t>enough</w:t>
      </w:r>
      <w:r>
        <w:rPr>
          <w:sz w:val="24"/>
          <w:szCs w:val="24"/>
        </w:rPr>
        <w:t xml:space="preserve"> homes available for buyers to choose from.</w:t>
      </w:r>
    </w:p>
    <w:p w14:paraId="0B02DBC8" w14:textId="77777777" w:rsidR="00963F99" w:rsidRDefault="00963F99" w:rsidP="00637D71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7915A1E4" w14:textId="58E51757" w:rsidR="0043767C" w:rsidRDefault="00963F99" w:rsidP="00637D71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Additionally, the regional economic footing that the housing market is built on </w:t>
      </w:r>
      <w:r w:rsidR="0043767C">
        <w:rPr>
          <w:sz w:val="24"/>
          <w:szCs w:val="24"/>
        </w:rPr>
        <w:t>– low unemployme</w:t>
      </w:r>
      <w:bookmarkStart w:id="1" w:name="_GoBack"/>
      <w:bookmarkEnd w:id="1"/>
      <w:r w:rsidR="0043767C">
        <w:rPr>
          <w:sz w:val="24"/>
          <w:szCs w:val="24"/>
        </w:rPr>
        <w:t>nt,</w:t>
      </w:r>
      <w:r w:rsidR="00D56814">
        <w:rPr>
          <w:sz w:val="24"/>
          <w:szCs w:val="24"/>
        </w:rPr>
        <w:t xml:space="preserve"> household growth,</w:t>
      </w:r>
      <w:r w:rsidR="0043767C">
        <w:rPr>
          <w:sz w:val="24"/>
          <w:szCs w:val="24"/>
        </w:rPr>
        <w:t xml:space="preserve"> low interest rates – </w:t>
      </w:r>
      <w:r>
        <w:rPr>
          <w:sz w:val="24"/>
          <w:szCs w:val="24"/>
        </w:rPr>
        <w:t xml:space="preserve">provides an environment for </w:t>
      </w:r>
      <w:r w:rsidR="00A17EB4">
        <w:rPr>
          <w:sz w:val="24"/>
          <w:szCs w:val="24"/>
        </w:rPr>
        <w:t>healthy</w:t>
      </w:r>
      <w:r>
        <w:rPr>
          <w:sz w:val="24"/>
          <w:szCs w:val="24"/>
        </w:rPr>
        <w:t xml:space="preserve"> demand</w:t>
      </w:r>
      <w:r w:rsidR="0043767C">
        <w:rPr>
          <w:sz w:val="24"/>
          <w:szCs w:val="24"/>
        </w:rPr>
        <w:t xml:space="preserve">. </w:t>
      </w:r>
      <w:r w:rsidR="00566209">
        <w:rPr>
          <w:sz w:val="24"/>
          <w:szCs w:val="24"/>
        </w:rPr>
        <w:t xml:space="preserve">Brokers expect this level of interest to continue </w:t>
      </w:r>
      <w:r>
        <w:rPr>
          <w:sz w:val="24"/>
          <w:szCs w:val="24"/>
        </w:rPr>
        <w:t>the rest of the year, and probably into 2020</w:t>
      </w:r>
      <w:r w:rsidR="00566209">
        <w:rPr>
          <w:sz w:val="24"/>
          <w:szCs w:val="24"/>
        </w:rPr>
        <w:t>.</w:t>
      </w:r>
    </w:p>
    <w:p w14:paraId="4DF09A65" w14:textId="77777777" w:rsidR="00D56814" w:rsidRDefault="00D56814" w:rsidP="00637D71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225FE431" w14:textId="6B0ABC0D" w:rsidR="00A17EB4" w:rsidRDefault="00D56814" w:rsidP="00637D71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While </w:t>
      </w:r>
      <w:r w:rsidR="00963F99">
        <w:rPr>
          <w:sz w:val="24"/>
          <w:szCs w:val="24"/>
        </w:rPr>
        <w:t xml:space="preserve">it would appear </w:t>
      </w:r>
      <w:r>
        <w:rPr>
          <w:sz w:val="24"/>
          <w:szCs w:val="24"/>
        </w:rPr>
        <w:t xml:space="preserve">the market is leaning in favor of sellers, many buyers are pushing back and not accepting sellers’ “take it or leave it” </w:t>
      </w:r>
      <w:r w:rsidR="00963F99">
        <w:rPr>
          <w:sz w:val="24"/>
          <w:szCs w:val="24"/>
        </w:rPr>
        <w:t>approach</w:t>
      </w:r>
      <w:r>
        <w:rPr>
          <w:sz w:val="24"/>
          <w:szCs w:val="24"/>
        </w:rPr>
        <w:t>. Multiple offers have slowed, and buy</w:t>
      </w:r>
      <w:r w:rsidR="00A17EB4">
        <w:rPr>
          <w:sz w:val="24"/>
          <w:szCs w:val="24"/>
        </w:rPr>
        <w:t>ers are making counter demands.</w:t>
      </w:r>
    </w:p>
    <w:p w14:paraId="53C1FAED" w14:textId="77777777" w:rsidR="00A17EB4" w:rsidRDefault="00A17EB4" w:rsidP="00637D71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53C428BE" w14:textId="0CE84684" w:rsidR="00D56814" w:rsidRDefault="00963F99" w:rsidP="00637D71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Sellers </w:t>
      </w:r>
      <w:r w:rsidR="00D56814">
        <w:rPr>
          <w:sz w:val="24"/>
          <w:szCs w:val="24"/>
        </w:rPr>
        <w:t xml:space="preserve">must </w:t>
      </w:r>
      <w:r>
        <w:rPr>
          <w:sz w:val="24"/>
          <w:szCs w:val="24"/>
        </w:rPr>
        <w:t xml:space="preserve">have their property </w:t>
      </w:r>
      <w:r w:rsidR="00D56814">
        <w:rPr>
          <w:sz w:val="24"/>
          <w:szCs w:val="24"/>
        </w:rPr>
        <w:t>in “move in” condition to attract good</w:t>
      </w:r>
      <w:r w:rsidR="009F093E">
        <w:rPr>
          <w:sz w:val="24"/>
          <w:szCs w:val="24"/>
        </w:rPr>
        <w:t>,</w:t>
      </w:r>
      <w:r w:rsidR="00D56814">
        <w:rPr>
          <w:sz w:val="24"/>
          <w:szCs w:val="24"/>
        </w:rPr>
        <w:t xml:space="preserve"> quality </w:t>
      </w:r>
      <w:r w:rsidR="009F093E">
        <w:rPr>
          <w:sz w:val="24"/>
          <w:szCs w:val="24"/>
        </w:rPr>
        <w:t>offers</w:t>
      </w:r>
      <w:r w:rsidR="00D56814">
        <w:rPr>
          <w:sz w:val="24"/>
          <w:szCs w:val="24"/>
        </w:rPr>
        <w:t>.</w:t>
      </w:r>
    </w:p>
    <w:p w14:paraId="275BE847" w14:textId="77777777" w:rsidR="0043767C" w:rsidRDefault="0043767C" w:rsidP="00637D71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0BEAAAD0" w14:textId="3DD35D80" w:rsidR="00566209" w:rsidRDefault="009F093E" w:rsidP="00637D71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Buyers, on the other hand, </w:t>
      </w:r>
      <w:r w:rsidR="00566209">
        <w:rPr>
          <w:sz w:val="24"/>
          <w:szCs w:val="24"/>
        </w:rPr>
        <w:t xml:space="preserve">would be best served to </w:t>
      </w:r>
      <w:r w:rsidR="00A36908">
        <w:rPr>
          <w:sz w:val="24"/>
          <w:szCs w:val="24"/>
        </w:rPr>
        <w:t xml:space="preserve">ask their REALTOR® to </w:t>
      </w:r>
      <w:r w:rsidR="00566209">
        <w:rPr>
          <w:sz w:val="24"/>
          <w:szCs w:val="24"/>
        </w:rPr>
        <w:t>start looking at properties that need a little fixing up. A “fixer-upper” can often be purchased at a discount relative to similar properties in “move in” condition, allowing buyers to realize a larger capital gain when they eventually sell.</w:t>
      </w:r>
    </w:p>
    <w:p w14:paraId="70B6DDED" w14:textId="77777777" w:rsidR="009F093E" w:rsidRDefault="009F093E" w:rsidP="00637D71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44A797D2" w14:textId="77777777" w:rsidR="00566209" w:rsidRDefault="00566209" w:rsidP="00637D71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521C126C" w14:textId="77777777" w:rsidR="00AF3EAF" w:rsidRDefault="00156337" w:rsidP="00AF3EAF">
      <w:pPr>
        <w:spacing w:before="120" w:after="120"/>
        <w:ind w:left="-360" w:right="-360"/>
        <w:contextualSpacing/>
        <w:rPr>
          <w:sz w:val="24"/>
          <w:szCs w:val="24"/>
        </w:rPr>
      </w:pPr>
      <w:r w:rsidRPr="00156337">
        <w:rPr>
          <w:b/>
          <w:sz w:val="24"/>
          <w:szCs w:val="24"/>
          <w:u w:val="single"/>
        </w:rPr>
        <w:lastRenderedPageBreak/>
        <w:t>Listings</w:t>
      </w:r>
      <w:r w:rsidR="00AF3EAF" w:rsidRPr="00AF3EAF">
        <w:rPr>
          <w:sz w:val="24"/>
          <w:szCs w:val="24"/>
        </w:rPr>
        <w:t xml:space="preserve"> </w:t>
      </w:r>
    </w:p>
    <w:p w14:paraId="19FB9865" w14:textId="7225F26D" w:rsidR="00063605" w:rsidRDefault="005533BD" w:rsidP="000561A4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Listings were </w:t>
      </w:r>
      <w:r w:rsidR="009F093E">
        <w:rPr>
          <w:sz w:val="24"/>
          <w:szCs w:val="24"/>
        </w:rPr>
        <w:t>down</w:t>
      </w:r>
      <w:r w:rsidR="00A36908">
        <w:rPr>
          <w:sz w:val="24"/>
          <w:szCs w:val="24"/>
        </w:rPr>
        <w:t xml:space="preserve"> in most </w:t>
      </w:r>
      <w:r>
        <w:rPr>
          <w:sz w:val="24"/>
          <w:szCs w:val="24"/>
        </w:rPr>
        <w:t>count</w:t>
      </w:r>
      <w:r w:rsidR="00A36908">
        <w:rPr>
          <w:sz w:val="24"/>
          <w:szCs w:val="24"/>
        </w:rPr>
        <w:t>ies</w:t>
      </w:r>
      <w:r>
        <w:rPr>
          <w:sz w:val="24"/>
          <w:szCs w:val="24"/>
        </w:rPr>
        <w:t xml:space="preserve"> </w:t>
      </w:r>
      <w:r w:rsidR="00A36908">
        <w:rPr>
          <w:sz w:val="24"/>
          <w:szCs w:val="24"/>
        </w:rPr>
        <w:t xml:space="preserve">in the metropolitan </w:t>
      </w:r>
      <w:r>
        <w:rPr>
          <w:sz w:val="24"/>
          <w:szCs w:val="24"/>
        </w:rPr>
        <w:t>area</w:t>
      </w:r>
      <w:r w:rsidR="009F093E">
        <w:rPr>
          <w:sz w:val="24"/>
          <w:szCs w:val="24"/>
        </w:rPr>
        <w:t>, despite a 5.3% increase regionally, due to a relatively large bump from Milwaukee County</w:t>
      </w:r>
      <w:r w:rsidR="000561A4">
        <w:rPr>
          <w:sz w:val="24"/>
          <w:szCs w:val="24"/>
        </w:rPr>
        <w:t>.</w:t>
      </w:r>
    </w:p>
    <w:p w14:paraId="64122864" w14:textId="77777777" w:rsidR="00A36908" w:rsidRDefault="00A36908" w:rsidP="000561A4">
      <w:pPr>
        <w:spacing w:before="120" w:after="120"/>
        <w:ind w:left="-360" w:right="-360"/>
        <w:contextualSpacing/>
        <w:rPr>
          <w:sz w:val="24"/>
          <w:szCs w:val="24"/>
        </w:rPr>
      </w:pPr>
    </w:p>
    <w:tbl>
      <w:tblPr>
        <w:tblpPr w:leftFromText="180" w:rightFromText="180" w:bottomFromText="115" w:vertAnchor="text" w:horzAnchor="margin" w:tblpX="-360" w:tblpY="36"/>
        <w:tblW w:w="4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900"/>
        <w:gridCol w:w="810"/>
        <w:gridCol w:w="1170"/>
      </w:tblGrid>
      <w:tr w:rsidR="007D5D49" w:rsidRPr="00C41C9C" w14:paraId="69D1315E" w14:textId="77777777" w:rsidTr="007D5D49">
        <w:trPr>
          <w:trHeight w:val="432"/>
        </w:trPr>
        <w:tc>
          <w:tcPr>
            <w:tcW w:w="45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6C08" w14:textId="287D3CB4" w:rsidR="007D5D49" w:rsidRPr="00754FD0" w:rsidRDefault="00712ABB" w:rsidP="007D5D49">
            <w:pPr>
              <w:spacing w:line="252" w:lineRule="auto"/>
              <w:ind w:left="-108" w:right="85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October</w:t>
            </w:r>
            <w:r w:rsidR="007D5D49" w:rsidRPr="00754FD0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7D5D49">
              <w:rPr>
                <w:rFonts w:ascii="Arial Narrow" w:hAnsi="Arial Narrow"/>
                <w:b/>
                <w:sz w:val="24"/>
                <w:szCs w:val="24"/>
              </w:rPr>
              <w:t>Listings</w:t>
            </w:r>
          </w:p>
        </w:tc>
      </w:tr>
      <w:tr w:rsidR="007D5D49" w:rsidRPr="00C41C9C" w14:paraId="39B90705" w14:textId="77777777" w:rsidTr="007D5D49">
        <w:trPr>
          <w:trHeight w:val="288"/>
        </w:trPr>
        <w:tc>
          <w:tcPr>
            <w:tcW w:w="1710" w:type="dxa"/>
            <w:tcBorders>
              <w:top w:val="single" w:sz="12" w:space="0" w:color="FFFFFF" w:themeColor="background1"/>
              <w:left w:val="nil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vAlign w:val="center"/>
            <w:hideMark/>
          </w:tcPr>
          <w:p w14:paraId="195FC169" w14:textId="16C0E933" w:rsidR="007D5D49" w:rsidRPr="00754FD0" w:rsidRDefault="007D5D49" w:rsidP="007D5D49">
            <w:pPr>
              <w:ind w:left="175" w:right="100"/>
              <w:rPr>
                <w:b/>
                <w:color w:val="FFFFFF" w:themeColor="background1"/>
              </w:rPr>
            </w:pPr>
            <w:r w:rsidRPr="00754FD0">
              <w:rPr>
                <w:b/>
                <w:color w:val="FFFFFF" w:themeColor="background1"/>
              </w:rPr>
              <w:t>County</w:t>
            </w:r>
          </w:p>
        </w:tc>
        <w:tc>
          <w:tcPr>
            <w:tcW w:w="90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B9FF5" w14:textId="77777777" w:rsidR="007D5D49" w:rsidRPr="00754FD0" w:rsidRDefault="007D5D49" w:rsidP="007D5D49">
            <w:pPr>
              <w:spacing w:line="207" w:lineRule="atLeast"/>
              <w:ind w:left="44" w:right="62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8</w:t>
            </w:r>
          </w:p>
        </w:tc>
        <w:tc>
          <w:tcPr>
            <w:tcW w:w="81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1F4E79" w:themeFill="accent1" w:themeFillShade="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42011" w14:textId="77777777" w:rsidR="007D5D49" w:rsidRPr="00754FD0" w:rsidRDefault="007D5D49" w:rsidP="007D5D49">
            <w:pPr>
              <w:spacing w:line="207" w:lineRule="atLeast"/>
              <w:ind w:right="-23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201</w:t>
            </w:r>
            <w:r>
              <w:rPr>
                <w:color w:val="FFFFFF" w:themeColor="background1"/>
              </w:rPr>
              <w:t>9</w:t>
            </w:r>
          </w:p>
        </w:tc>
        <w:tc>
          <w:tcPr>
            <w:tcW w:w="117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nil"/>
            </w:tcBorders>
            <w:shd w:val="clear" w:color="auto" w:fill="1F4E79" w:themeFill="accent1" w:themeFillShade="80"/>
            <w:vAlign w:val="center"/>
          </w:tcPr>
          <w:p w14:paraId="03CF1082" w14:textId="77777777" w:rsidR="007D5D49" w:rsidRPr="00754FD0" w:rsidRDefault="007D5D49" w:rsidP="007D5D49">
            <w:pPr>
              <w:ind w:left="89" w:right="90"/>
              <w:jc w:val="center"/>
              <w:rPr>
                <w:color w:val="FFFFFF" w:themeColor="background1"/>
              </w:rPr>
            </w:pPr>
            <w:r w:rsidRPr="00754FD0">
              <w:rPr>
                <w:color w:val="FFFFFF" w:themeColor="background1"/>
              </w:rPr>
              <w:t>% Change</w:t>
            </w:r>
          </w:p>
        </w:tc>
      </w:tr>
      <w:tr w:rsidR="007D5D49" w:rsidRPr="00C41C9C" w14:paraId="5F5AF442" w14:textId="77777777" w:rsidTr="007D5D49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F22B6" w14:textId="77777777" w:rsidR="007D5D49" w:rsidRPr="00C41C9C" w:rsidRDefault="007D5D49" w:rsidP="007D5D49">
            <w:pPr>
              <w:spacing w:line="252" w:lineRule="auto"/>
              <w:ind w:left="62" w:right="100"/>
            </w:pPr>
            <w:r w:rsidRPr="00C41C9C">
              <w:t>Milwaukee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F35611" w14:textId="3E34AE62" w:rsidR="007D5D49" w:rsidRPr="00C41C9C" w:rsidRDefault="00E12D4D" w:rsidP="00526B69">
            <w:pPr>
              <w:spacing w:line="252" w:lineRule="auto"/>
              <w:ind w:left="44" w:right="62"/>
            </w:pPr>
            <w:r>
              <w:t>1,126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399B9F" w14:textId="493291D6" w:rsidR="007D5D49" w:rsidRPr="00C41C9C" w:rsidRDefault="00E12D4D" w:rsidP="00526B69">
            <w:pPr>
              <w:spacing w:line="252" w:lineRule="auto"/>
              <w:ind w:right="-23"/>
            </w:pPr>
            <w:r>
              <w:t>1,301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40D9D" w14:textId="33FADF8F" w:rsidR="007D5D49" w:rsidRPr="00C41C9C" w:rsidRDefault="00E12D4D" w:rsidP="00526B69">
            <w:pPr>
              <w:spacing w:line="252" w:lineRule="auto"/>
              <w:ind w:left="95" w:right="445"/>
              <w:jc w:val="right"/>
            </w:pPr>
            <w:r>
              <w:t>15.5</w:t>
            </w:r>
            <w:r w:rsidR="007D5D49" w:rsidRPr="00C41C9C">
              <w:t>%</w:t>
            </w:r>
          </w:p>
        </w:tc>
      </w:tr>
      <w:tr w:rsidR="007D5D49" w:rsidRPr="00C41C9C" w14:paraId="096C365A" w14:textId="77777777" w:rsidTr="007D5D49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5978F8" w14:textId="77777777" w:rsidR="007D5D49" w:rsidRPr="00C41C9C" w:rsidRDefault="007D5D49" w:rsidP="007D5D49">
            <w:pPr>
              <w:spacing w:line="252" w:lineRule="auto"/>
              <w:ind w:left="62" w:right="100"/>
            </w:pPr>
            <w:r w:rsidRPr="00C41C9C">
              <w:t>Waukesha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298A2" w14:textId="1539112E" w:rsidR="007D5D49" w:rsidRPr="00C41C9C" w:rsidRDefault="00E12D4D" w:rsidP="007D5D49">
            <w:pPr>
              <w:spacing w:line="252" w:lineRule="auto"/>
              <w:ind w:left="44" w:right="62"/>
            </w:pPr>
            <w:r>
              <w:t>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67730" w14:textId="2B8CC302" w:rsidR="007D5D49" w:rsidRPr="00C41C9C" w:rsidRDefault="00E12D4D" w:rsidP="00526B69">
            <w:pPr>
              <w:spacing w:line="252" w:lineRule="auto"/>
              <w:ind w:right="-23"/>
            </w:pPr>
            <w:r>
              <w:t>562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4DB73B56" w14:textId="5BFC1825" w:rsidR="007D5D49" w:rsidRPr="00C41C9C" w:rsidRDefault="00E12D4D" w:rsidP="00526B69">
            <w:pPr>
              <w:spacing w:line="252" w:lineRule="auto"/>
              <w:ind w:left="95" w:right="445"/>
              <w:jc w:val="right"/>
            </w:pPr>
            <w:r>
              <w:t>-2.3</w:t>
            </w:r>
            <w:r w:rsidR="007D5D49" w:rsidRPr="00C41C9C">
              <w:t>%</w:t>
            </w:r>
          </w:p>
        </w:tc>
      </w:tr>
      <w:tr w:rsidR="007D5D49" w:rsidRPr="00C41C9C" w14:paraId="10DFFEA2" w14:textId="77777777" w:rsidTr="007D5D49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6DC196" w14:textId="77777777" w:rsidR="007D5D49" w:rsidRPr="00C41C9C" w:rsidRDefault="007D5D49" w:rsidP="007D5D49">
            <w:pPr>
              <w:spacing w:line="252" w:lineRule="auto"/>
              <w:ind w:left="62" w:right="100"/>
            </w:pPr>
            <w:r w:rsidRPr="00C41C9C">
              <w:t>Washington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85561" w14:textId="6AFACB7C" w:rsidR="007D5D49" w:rsidRPr="00C41C9C" w:rsidRDefault="00E12D4D" w:rsidP="007D5D49">
            <w:pPr>
              <w:spacing w:line="252" w:lineRule="auto"/>
              <w:ind w:left="44" w:right="62"/>
            </w:pPr>
            <w:r>
              <w:t>195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6BCB" w14:textId="685C0F8C" w:rsidR="007D5D49" w:rsidRPr="00C41C9C" w:rsidRDefault="00E12D4D" w:rsidP="00526B69">
            <w:pPr>
              <w:spacing w:line="252" w:lineRule="auto"/>
              <w:ind w:right="-23"/>
            </w:pPr>
            <w:r>
              <w:t>189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40065" w14:textId="66A9A936" w:rsidR="007D5D49" w:rsidRPr="00C41C9C" w:rsidRDefault="00E12D4D" w:rsidP="00526B69">
            <w:pPr>
              <w:spacing w:line="252" w:lineRule="auto"/>
              <w:ind w:left="95" w:right="445"/>
              <w:jc w:val="right"/>
            </w:pPr>
            <w:r>
              <w:t>-3</w:t>
            </w:r>
            <w:r w:rsidR="007D5D49">
              <w:t>.</w:t>
            </w:r>
            <w:r>
              <w:t>1</w:t>
            </w:r>
            <w:r w:rsidR="007D5D49" w:rsidRPr="00C41C9C">
              <w:t>%</w:t>
            </w:r>
          </w:p>
        </w:tc>
      </w:tr>
      <w:tr w:rsidR="007D5D49" w:rsidRPr="00C41C9C" w14:paraId="00125A30" w14:textId="77777777" w:rsidTr="007D5D49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83B74" w14:textId="77777777" w:rsidR="007D5D49" w:rsidRPr="00C41C9C" w:rsidRDefault="007D5D49" w:rsidP="007D5D49">
            <w:pPr>
              <w:spacing w:line="252" w:lineRule="auto"/>
              <w:ind w:left="62" w:right="100"/>
            </w:pPr>
            <w:r w:rsidRPr="00C41C9C">
              <w:t>Ozaukee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D099" w14:textId="3E759FC0" w:rsidR="007D5D49" w:rsidRPr="00C41C9C" w:rsidRDefault="00E12D4D" w:rsidP="00526B69">
            <w:pPr>
              <w:spacing w:line="252" w:lineRule="auto"/>
              <w:ind w:left="44" w:right="62"/>
            </w:pPr>
            <w:r>
              <w:t>146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3003" w14:textId="27207D79" w:rsidR="007D5D49" w:rsidRPr="00C41C9C" w:rsidRDefault="00E12D4D" w:rsidP="005637F6">
            <w:pPr>
              <w:spacing w:line="252" w:lineRule="auto"/>
              <w:ind w:right="-23"/>
            </w:pPr>
            <w:r>
              <w:t>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4669FEE" w14:textId="0E509CD7" w:rsidR="007D5D49" w:rsidRPr="00C41C9C" w:rsidRDefault="00E12D4D" w:rsidP="00526B69">
            <w:pPr>
              <w:spacing w:line="252" w:lineRule="auto"/>
              <w:ind w:left="95" w:right="445"/>
              <w:jc w:val="right"/>
            </w:pPr>
            <w:r>
              <w:t>-32.9</w:t>
            </w:r>
            <w:r w:rsidR="007D5D49" w:rsidRPr="00C41C9C">
              <w:t>%</w:t>
            </w:r>
          </w:p>
        </w:tc>
      </w:tr>
      <w:tr w:rsidR="007D5D49" w:rsidRPr="00C41C9C" w14:paraId="08B3A7D1" w14:textId="77777777" w:rsidTr="007D5D49">
        <w:trPr>
          <w:trHeight w:val="288"/>
        </w:trPr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A860E" w14:textId="77777777" w:rsidR="007D5D49" w:rsidRPr="00C41C9C" w:rsidRDefault="007D5D49" w:rsidP="007D5D49">
            <w:pPr>
              <w:spacing w:line="252" w:lineRule="auto"/>
              <w:ind w:left="62" w:right="100"/>
            </w:pPr>
            <w:r w:rsidRPr="00C41C9C">
              <w:t>4 County Area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9DC8" w14:textId="6FC0B8E2" w:rsidR="007D5D49" w:rsidRPr="00C41C9C" w:rsidRDefault="007D5D49" w:rsidP="00AA0F14">
            <w:pPr>
              <w:spacing w:line="252" w:lineRule="auto"/>
              <w:ind w:left="44" w:right="62"/>
            </w:pPr>
            <w:r>
              <w:t>2,</w:t>
            </w:r>
            <w:r w:rsidR="00712ABB">
              <w:t>042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C8D7" w14:textId="666F722F" w:rsidR="007D5D49" w:rsidRPr="00C41C9C" w:rsidRDefault="007D5D49" w:rsidP="00AA0F14">
            <w:pPr>
              <w:spacing w:line="252" w:lineRule="auto"/>
              <w:ind w:right="-23"/>
            </w:pPr>
            <w:r>
              <w:t>2,</w:t>
            </w:r>
            <w:r w:rsidR="00712ABB">
              <w:t>150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FA902" w14:textId="402FCA8B" w:rsidR="007D5D49" w:rsidRPr="00C41C9C" w:rsidRDefault="00712ABB" w:rsidP="00AA0F14">
            <w:pPr>
              <w:spacing w:line="252" w:lineRule="auto"/>
              <w:ind w:left="95" w:right="445"/>
              <w:jc w:val="right"/>
            </w:pPr>
            <w:r>
              <w:t>5</w:t>
            </w:r>
            <w:r w:rsidR="007D5D49">
              <w:t>.</w:t>
            </w:r>
            <w:r>
              <w:t>3</w:t>
            </w:r>
            <w:r w:rsidR="007D5D49" w:rsidRPr="00C41C9C">
              <w:t>%</w:t>
            </w:r>
          </w:p>
        </w:tc>
      </w:tr>
      <w:tr w:rsidR="007D5D49" w:rsidRPr="00C41C9C" w14:paraId="6EC601E6" w14:textId="77777777" w:rsidTr="007D5D49">
        <w:trPr>
          <w:trHeight w:val="144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BA97" w14:textId="77777777" w:rsidR="007D5D49" w:rsidRPr="00156337" w:rsidRDefault="007D5D49" w:rsidP="007D5D49">
            <w:pPr>
              <w:spacing w:line="252" w:lineRule="auto"/>
              <w:ind w:left="62" w:right="100"/>
              <w:rPr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81F81" w14:textId="77777777" w:rsidR="007D5D49" w:rsidRPr="00156337" w:rsidRDefault="007D5D49" w:rsidP="007D5D49">
            <w:pPr>
              <w:spacing w:line="252" w:lineRule="auto"/>
              <w:ind w:left="44" w:right="62"/>
              <w:rPr>
                <w:sz w:val="10"/>
                <w:szCs w:val="1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D5A06" w14:textId="77777777" w:rsidR="007D5D49" w:rsidRPr="00156337" w:rsidRDefault="007D5D49" w:rsidP="007D5D49">
            <w:pPr>
              <w:spacing w:line="252" w:lineRule="auto"/>
              <w:ind w:right="-23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0D9380EF" w14:textId="77777777" w:rsidR="007D5D49" w:rsidRPr="00156337" w:rsidRDefault="007D5D49" w:rsidP="007D5D49">
            <w:pPr>
              <w:spacing w:line="252" w:lineRule="auto"/>
              <w:ind w:left="95" w:right="445"/>
              <w:jc w:val="right"/>
              <w:rPr>
                <w:sz w:val="10"/>
                <w:szCs w:val="10"/>
              </w:rPr>
            </w:pPr>
          </w:p>
        </w:tc>
      </w:tr>
      <w:tr w:rsidR="007D5D49" w:rsidRPr="00C41C9C" w14:paraId="49027F81" w14:textId="77777777" w:rsidTr="007D5D49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3D3C9" w14:textId="77777777" w:rsidR="007D5D49" w:rsidRPr="00C41C9C" w:rsidRDefault="007D5D49" w:rsidP="007D5D49">
            <w:pPr>
              <w:spacing w:line="252" w:lineRule="auto"/>
              <w:ind w:left="62" w:right="100"/>
            </w:pPr>
            <w:r>
              <w:t>Racine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89FA" w14:textId="543ECD99" w:rsidR="007D5D49" w:rsidRPr="00C41C9C" w:rsidRDefault="00E12D4D" w:rsidP="005637F6">
            <w:pPr>
              <w:spacing w:line="252" w:lineRule="auto"/>
              <w:ind w:left="44" w:right="62"/>
            </w:pPr>
            <w:r>
              <w:t>322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A325B" w14:textId="22C58786" w:rsidR="007D5D49" w:rsidRPr="00C41C9C" w:rsidRDefault="00E12D4D" w:rsidP="005637F6">
            <w:pPr>
              <w:spacing w:line="252" w:lineRule="auto"/>
              <w:ind w:right="-23"/>
            </w:pPr>
            <w:r>
              <w:t>335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B4B0" w14:textId="6F584B75" w:rsidR="007D5D49" w:rsidRPr="00C41C9C" w:rsidRDefault="00E12D4D" w:rsidP="00AA0F14">
            <w:pPr>
              <w:spacing w:line="252" w:lineRule="auto"/>
              <w:ind w:left="95" w:right="445"/>
              <w:jc w:val="right"/>
            </w:pPr>
            <w:r>
              <w:t>4.0</w:t>
            </w:r>
            <w:r w:rsidR="007D5D49">
              <w:t>%</w:t>
            </w:r>
          </w:p>
        </w:tc>
      </w:tr>
      <w:tr w:rsidR="007D5D49" w:rsidRPr="00C41C9C" w14:paraId="51CCFDEC" w14:textId="77777777" w:rsidTr="007D5D49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26135" w14:textId="77777777" w:rsidR="007D5D49" w:rsidRPr="00C41C9C" w:rsidRDefault="007D5D49" w:rsidP="007D5D49">
            <w:pPr>
              <w:spacing w:line="252" w:lineRule="auto"/>
              <w:ind w:left="62" w:right="100"/>
            </w:pPr>
            <w:r>
              <w:t>Kenosha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3D4B" w14:textId="72CE425A" w:rsidR="007D5D49" w:rsidRPr="00C41C9C" w:rsidRDefault="00E12D4D" w:rsidP="007D5D49">
            <w:pPr>
              <w:spacing w:line="252" w:lineRule="auto"/>
              <w:ind w:left="44" w:right="62"/>
            </w:pPr>
            <w:r>
              <w:t>276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36A4" w14:textId="30BE2A58" w:rsidR="007D5D49" w:rsidRPr="00C41C9C" w:rsidRDefault="00E12D4D" w:rsidP="00AA0F14">
            <w:pPr>
              <w:spacing w:line="252" w:lineRule="auto"/>
              <w:ind w:right="-23"/>
            </w:pPr>
            <w:r>
              <w:t>274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 w14:paraId="17812DF6" w14:textId="58F7A34E" w:rsidR="007D5D49" w:rsidRPr="00C41C9C" w:rsidRDefault="00E12D4D" w:rsidP="00AA0F14">
            <w:pPr>
              <w:spacing w:line="252" w:lineRule="auto"/>
              <w:ind w:left="95" w:right="445"/>
              <w:jc w:val="right"/>
            </w:pPr>
            <w:r>
              <w:t>-0.7</w:t>
            </w:r>
            <w:r w:rsidR="007D5D49">
              <w:t>%</w:t>
            </w:r>
          </w:p>
        </w:tc>
      </w:tr>
      <w:tr w:rsidR="007D5D49" w:rsidRPr="00C41C9C" w14:paraId="27A91CE7" w14:textId="77777777" w:rsidTr="007D5D49">
        <w:trPr>
          <w:trHeight w:val="288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6327B" w14:textId="77777777" w:rsidR="007D5D49" w:rsidRDefault="007D5D49" w:rsidP="007D5D49">
            <w:pPr>
              <w:spacing w:line="252" w:lineRule="auto"/>
              <w:ind w:left="62" w:right="100"/>
            </w:pPr>
            <w:r>
              <w:t>Walworth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7A29" w14:textId="434DE303" w:rsidR="007D5D49" w:rsidRDefault="00E12D4D" w:rsidP="00AA0F14">
            <w:pPr>
              <w:spacing w:line="252" w:lineRule="auto"/>
              <w:ind w:left="44" w:right="62"/>
            </w:pPr>
            <w:r>
              <w:t>181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A8329" w14:textId="66699FAF" w:rsidR="007D5D49" w:rsidRDefault="00E12D4D" w:rsidP="00AA0F14">
            <w:pPr>
              <w:spacing w:line="252" w:lineRule="auto"/>
              <w:ind w:right="-23"/>
            </w:pPr>
            <w:r>
              <w:t>181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96EF" w14:textId="4D4AE5D2" w:rsidR="007D5D49" w:rsidRDefault="00E12D4D" w:rsidP="005637F6">
            <w:pPr>
              <w:spacing w:line="252" w:lineRule="auto"/>
              <w:ind w:left="95" w:right="445"/>
              <w:jc w:val="right"/>
            </w:pPr>
            <w:r>
              <w:t>0.0</w:t>
            </w:r>
            <w:r w:rsidR="007D5D49">
              <w:t>%</w:t>
            </w:r>
          </w:p>
        </w:tc>
      </w:tr>
    </w:tbl>
    <w:p w14:paraId="06F391FF" w14:textId="77777777" w:rsidR="00E5745D" w:rsidRDefault="00E5745D" w:rsidP="002B0C16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 decrease in listings at year-end is not unusual. In fact, the 15.5% jump in listings in Milwaukee County looks more like an anomaly. </w:t>
      </w:r>
    </w:p>
    <w:p w14:paraId="7FAD5B30" w14:textId="77777777" w:rsidR="00E5745D" w:rsidRDefault="00E5745D" w:rsidP="002B0C16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1F87EF32" w14:textId="3D346068" w:rsidR="00E5745D" w:rsidRDefault="00E5745D" w:rsidP="002B0C16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However, despite the typical annual decline, t</w:t>
      </w:r>
      <w:r w:rsidR="00F1598A">
        <w:rPr>
          <w:sz w:val="24"/>
          <w:szCs w:val="24"/>
        </w:rPr>
        <w:t xml:space="preserve">he metropolitan market </w:t>
      </w:r>
      <w:r>
        <w:rPr>
          <w:sz w:val="24"/>
          <w:szCs w:val="24"/>
        </w:rPr>
        <w:t xml:space="preserve">is deficient in listings. </w:t>
      </w:r>
    </w:p>
    <w:p w14:paraId="618F7AFC" w14:textId="77777777" w:rsidR="00E5745D" w:rsidRDefault="00E5745D" w:rsidP="002B0C16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1DC687BC" w14:textId="0BDB66C3" w:rsidR="000D45BC" w:rsidRDefault="00E5745D" w:rsidP="002B0C16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just the </w:t>
      </w:r>
      <w:r w:rsidR="00E83629">
        <w:rPr>
          <w:sz w:val="24"/>
          <w:szCs w:val="24"/>
        </w:rPr>
        <w:t>4-county</w:t>
      </w:r>
      <w:r>
        <w:rPr>
          <w:sz w:val="24"/>
          <w:szCs w:val="24"/>
        </w:rPr>
        <w:t xml:space="preserve"> area, it would take an </w:t>
      </w:r>
      <w:r w:rsidR="00F1598A">
        <w:rPr>
          <w:sz w:val="24"/>
          <w:szCs w:val="24"/>
        </w:rPr>
        <w:t xml:space="preserve">additional </w:t>
      </w:r>
      <w:r w:rsidR="00AD4EC8" w:rsidRPr="00AD4EC8">
        <w:rPr>
          <w:sz w:val="24"/>
          <w:szCs w:val="24"/>
        </w:rPr>
        <w:t>3</w:t>
      </w:r>
      <w:r w:rsidR="00AD4EC8">
        <w:rPr>
          <w:sz w:val="24"/>
          <w:szCs w:val="24"/>
        </w:rPr>
        <w:t>,</w:t>
      </w:r>
      <w:r w:rsidR="009F093E">
        <w:rPr>
          <w:sz w:val="24"/>
          <w:szCs w:val="24"/>
        </w:rPr>
        <w:t>62</w:t>
      </w:r>
      <w:r w:rsidR="00A36908">
        <w:rPr>
          <w:sz w:val="24"/>
          <w:szCs w:val="24"/>
        </w:rPr>
        <w:t>5</w:t>
      </w:r>
      <w:r w:rsidR="00AD4EC8" w:rsidRPr="00AD4EC8">
        <w:rPr>
          <w:sz w:val="24"/>
          <w:szCs w:val="24"/>
        </w:rPr>
        <w:t xml:space="preserve"> </w:t>
      </w:r>
      <w:r w:rsidR="00F1598A">
        <w:rPr>
          <w:sz w:val="24"/>
          <w:szCs w:val="24"/>
        </w:rPr>
        <w:t>listings</w:t>
      </w:r>
      <w:r w:rsidR="00AD4EC8">
        <w:rPr>
          <w:sz w:val="24"/>
          <w:szCs w:val="24"/>
        </w:rPr>
        <w:t xml:space="preserve"> (mo</w:t>
      </w:r>
      <w:r w:rsidR="00A36908">
        <w:rPr>
          <w:sz w:val="24"/>
          <w:szCs w:val="24"/>
        </w:rPr>
        <w:t xml:space="preserve">stly </w:t>
      </w:r>
      <w:r w:rsidR="00AD4EC8">
        <w:rPr>
          <w:sz w:val="24"/>
          <w:szCs w:val="24"/>
        </w:rPr>
        <w:t xml:space="preserve">priced </w:t>
      </w:r>
      <w:r w:rsidR="00487AC4">
        <w:rPr>
          <w:sz w:val="24"/>
          <w:szCs w:val="24"/>
        </w:rPr>
        <w:t>under $300,000</w:t>
      </w:r>
      <w:r w:rsidR="00AD4EC8">
        <w:rPr>
          <w:sz w:val="24"/>
          <w:szCs w:val="24"/>
        </w:rPr>
        <w:t>)</w:t>
      </w:r>
      <w:r w:rsidR="00487AC4">
        <w:rPr>
          <w:sz w:val="24"/>
          <w:szCs w:val="24"/>
        </w:rPr>
        <w:t xml:space="preserve"> </w:t>
      </w:r>
      <w:r w:rsidR="00F1598A">
        <w:rPr>
          <w:sz w:val="24"/>
          <w:szCs w:val="24"/>
        </w:rPr>
        <w:t>to come close to satisfying current demand.</w:t>
      </w:r>
      <w:r w:rsidR="00A17EB4">
        <w:rPr>
          <w:sz w:val="24"/>
          <w:szCs w:val="24"/>
        </w:rPr>
        <w:t xml:space="preserve"> </w:t>
      </w:r>
      <w:r w:rsidR="00487AC4">
        <w:rPr>
          <w:sz w:val="24"/>
          <w:szCs w:val="24"/>
        </w:rPr>
        <w:t>T</w:t>
      </w:r>
      <w:r w:rsidR="00F1598A">
        <w:rPr>
          <w:sz w:val="24"/>
          <w:szCs w:val="24"/>
        </w:rPr>
        <w:t xml:space="preserve">hat’s on top of the </w:t>
      </w:r>
      <w:r w:rsidR="00AD4EC8">
        <w:rPr>
          <w:sz w:val="24"/>
          <w:szCs w:val="24"/>
        </w:rPr>
        <w:t>6</w:t>
      </w:r>
      <w:r w:rsidR="00F1598A">
        <w:rPr>
          <w:sz w:val="24"/>
          <w:szCs w:val="24"/>
        </w:rPr>
        <w:t>,</w:t>
      </w:r>
      <w:r w:rsidR="009F093E">
        <w:rPr>
          <w:sz w:val="24"/>
          <w:szCs w:val="24"/>
        </w:rPr>
        <w:t>551</w:t>
      </w:r>
      <w:r w:rsidR="00F1598A">
        <w:rPr>
          <w:sz w:val="24"/>
          <w:szCs w:val="24"/>
        </w:rPr>
        <w:t xml:space="preserve"> listings currently in MLS</w:t>
      </w:r>
      <w:r w:rsidR="00487AC4">
        <w:rPr>
          <w:sz w:val="24"/>
          <w:szCs w:val="24"/>
        </w:rPr>
        <w:t>.</w:t>
      </w:r>
      <w:r w:rsidR="00F1598A">
        <w:rPr>
          <w:sz w:val="24"/>
          <w:szCs w:val="24"/>
        </w:rPr>
        <w:t xml:space="preserve"> </w:t>
      </w:r>
    </w:p>
    <w:p w14:paraId="64520B84" w14:textId="77777777" w:rsidR="00D0513E" w:rsidRDefault="00D0513E" w:rsidP="002B0C16">
      <w:pPr>
        <w:spacing w:before="120" w:after="120"/>
        <w:ind w:right="-360"/>
        <w:contextualSpacing/>
        <w:rPr>
          <w:sz w:val="24"/>
          <w:szCs w:val="24"/>
        </w:rPr>
      </w:pPr>
    </w:p>
    <w:p w14:paraId="5310C099" w14:textId="09C50B7B" w:rsidR="001347B5" w:rsidRPr="006F7D1E" w:rsidRDefault="001347B5" w:rsidP="001347B5">
      <w:pPr>
        <w:spacing w:before="120" w:after="120"/>
        <w:ind w:left="-360" w:right="-360"/>
        <w:contextualSpacing/>
        <w:rPr>
          <w:b/>
          <w:bCs/>
          <w:sz w:val="24"/>
          <w:szCs w:val="24"/>
          <w:u w:val="single"/>
        </w:rPr>
      </w:pPr>
      <w:r w:rsidRPr="00FD76D1">
        <w:rPr>
          <w:b/>
          <w:bCs/>
          <w:sz w:val="24"/>
          <w:szCs w:val="24"/>
          <w:u w:val="single"/>
        </w:rPr>
        <w:t>Inventory</w:t>
      </w:r>
    </w:p>
    <w:p w14:paraId="36E69847" w14:textId="16CA1D24" w:rsidR="00E5745D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  <w:r w:rsidRPr="006F7D1E">
        <w:rPr>
          <w:sz w:val="24"/>
          <w:szCs w:val="24"/>
        </w:rPr>
        <w:t xml:space="preserve">Seasonally adjusted inventory is calculated by taking the homes available for sale </w:t>
      </w:r>
      <w:r w:rsidR="00E83629" w:rsidRPr="006F7D1E">
        <w:rPr>
          <w:sz w:val="24"/>
          <w:szCs w:val="24"/>
        </w:rPr>
        <w:t>in each</w:t>
      </w:r>
      <w:r w:rsidRPr="006F7D1E">
        <w:rPr>
          <w:sz w:val="24"/>
          <w:szCs w:val="24"/>
        </w:rPr>
        <w:t xml:space="preserve"> month and</w:t>
      </w:r>
      <w:r w:rsidR="00FE44EA">
        <w:rPr>
          <w:sz w:val="24"/>
          <w:szCs w:val="24"/>
        </w:rPr>
        <w:t xml:space="preserve"> </w:t>
      </w:r>
      <w:r w:rsidRPr="006F7D1E">
        <w:rPr>
          <w:sz w:val="24"/>
          <w:szCs w:val="24"/>
        </w:rPr>
        <w:t>comparing them to the past 12 months’ average sales.  This tells us how many months it would take to sell the existing homes on the market.</w:t>
      </w:r>
    </w:p>
    <w:p w14:paraId="3066FAB0" w14:textId="77777777" w:rsidR="00E5745D" w:rsidRDefault="00E5745D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44B9931C" w14:textId="0CD0929E" w:rsidR="001347B5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  <w:r w:rsidRPr="006F7D1E">
        <w:rPr>
          <w:sz w:val="24"/>
          <w:szCs w:val="24"/>
        </w:rPr>
        <w:t xml:space="preserve">The seasonally adjusted inventory level for </w:t>
      </w:r>
      <w:r w:rsidR="00712ABB">
        <w:rPr>
          <w:sz w:val="24"/>
          <w:szCs w:val="24"/>
        </w:rPr>
        <w:t>October</w:t>
      </w:r>
      <w:r w:rsidRPr="006F7D1E">
        <w:rPr>
          <w:sz w:val="24"/>
          <w:szCs w:val="24"/>
        </w:rPr>
        <w:t xml:space="preserve"> was </w:t>
      </w:r>
      <w:r w:rsidR="00E5745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E5745D">
        <w:rPr>
          <w:sz w:val="24"/>
          <w:szCs w:val="24"/>
        </w:rPr>
        <w:t>9</w:t>
      </w:r>
      <w:r w:rsidR="000561A4">
        <w:rPr>
          <w:sz w:val="24"/>
          <w:szCs w:val="24"/>
        </w:rPr>
        <w:t xml:space="preserve"> mo</w:t>
      </w:r>
      <w:r>
        <w:rPr>
          <w:sz w:val="24"/>
          <w:szCs w:val="24"/>
        </w:rPr>
        <w:t>nths</w:t>
      </w:r>
      <w:r w:rsidRPr="006F7D1E">
        <w:rPr>
          <w:sz w:val="24"/>
          <w:szCs w:val="24"/>
        </w:rPr>
        <w:t xml:space="preserve">.  The seasonally adjusted level was </w:t>
      </w:r>
      <w:r w:rsidR="000561A4">
        <w:rPr>
          <w:sz w:val="24"/>
          <w:szCs w:val="24"/>
        </w:rPr>
        <w:t xml:space="preserve">also </w:t>
      </w:r>
      <w:r w:rsidR="0018763A">
        <w:rPr>
          <w:sz w:val="24"/>
          <w:szCs w:val="24"/>
        </w:rPr>
        <w:t>3.8</w:t>
      </w:r>
      <w:r w:rsidRPr="006F7D1E">
        <w:rPr>
          <w:sz w:val="24"/>
          <w:szCs w:val="24"/>
        </w:rPr>
        <w:t xml:space="preserve"> months in </w:t>
      </w:r>
      <w:r w:rsidR="00712ABB">
        <w:rPr>
          <w:sz w:val="24"/>
          <w:szCs w:val="24"/>
        </w:rPr>
        <w:t>October</w:t>
      </w:r>
      <w:r w:rsidRPr="006F7D1E">
        <w:rPr>
          <w:sz w:val="24"/>
          <w:szCs w:val="24"/>
        </w:rPr>
        <w:t xml:space="preserve"> 201</w:t>
      </w:r>
      <w:r w:rsidR="00FE44EA">
        <w:rPr>
          <w:sz w:val="24"/>
          <w:szCs w:val="24"/>
        </w:rPr>
        <w:t>8</w:t>
      </w:r>
      <w:r w:rsidRPr="006F7D1E">
        <w:rPr>
          <w:sz w:val="24"/>
          <w:szCs w:val="24"/>
        </w:rPr>
        <w:t>.</w:t>
      </w:r>
    </w:p>
    <w:p w14:paraId="1E4D77BC" w14:textId="67562FD8" w:rsidR="00A36908" w:rsidRPr="006F7D1E" w:rsidRDefault="00E12D4D" w:rsidP="001347B5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C8F833A" wp14:editId="3F2735B5">
            <wp:simplePos x="0" y="0"/>
            <wp:positionH relativeFrom="column">
              <wp:posOffset>-228600</wp:posOffset>
            </wp:positionH>
            <wp:positionV relativeFrom="paragraph">
              <wp:posOffset>77470</wp:posOffset>
            </wp:positionV>
            <wp:extent cx="4663440" cy="2926080"/>
            <wp:effectExtent l="0" t="0" r="3810" b="762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F7239E" w14:textId="69496C92" w:rsidR="001347B5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  <w:r w:rsidRPr="006F7D1E">
        <w:rPr>
          <w:sz w:val="24"/>
          <w:szCs w:val="24"/>
        </w:rPr>
        <w:t xml:space="preserve">Generally, </w:t>
      </w:r>
      <w:r w:rsidR="00524132">
        <w:rPr>
          <w:sz w:val="24"/>
          <w:szCs w:val="24"/>
        </w:rPr>
        <w:t>6</w:t>
      </w:r>
      <w:r w:rsidRPr="006F7D1E">
        <w:rPr>
          <w:sz w:val="24"/>
          <w:szCs w:val="24"/>
        </w:rPr>
        <w:t xml:space="preserve"> months of inventory is considered a “balanced” market. If inventory falls below </w:t>
      </w:r>
      <w:r w:rsidR="00524132">
        <w:rPr>
          <w:sz w:val="24"/>
          <w:szCs w:val="24"/>
        </w:rPr>
        <w:t>6</w:t>
      </w:r>
      <w:r w:rsidRPr="006F7D1E">
        <w:rPr>
          <w:sz w:val="24"/>
          <w:szCs w:val="24"/>
        </w:rPr>
        <w:t xml:space="preserve"> months, the market favors sellers; and when inventory exceeds </w:t>
      </w:r>
      <w:r w:rsidR="00524132">
        <w:rPr>
          <w:sz w:val="24"/>
          <w:szCs w:val="24"/>
        </w:rPr>
        <w:t>6</w:t>
      </w:r>
      <w:r w:rsidRPr="006F7D1E">
        <w:rPr>
          <w:sz w:val="24"/>
          <w:szCs w:val="24"/>
        </w:rPr>
        <w:t xml:space="preserve"> months, it is a buyer’s market. </w:t>
      </w:r>
    </w:p>
    <w:p w14:paraId="501E2057" w14:textId="77777777" w:rsidR="001347B5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2ECB8F6F" w14:textId="77777777" w:rsidR="00A36908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We also calculate inventory by subtracting the listings that have an “active offer” from those available for sale in a given month.  </w:t>
      </w:r>
    </w:p>
    <w:p w14:paraId="524A6965" w14:textId="77777777" w:rsidR="00A36908" w:rsidRDefault="00A36908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0BBA19E4" w14:textId="77777777" w:rsidR="001347B5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Approximately 8 in 10 listings that buyers place an offer on go on to a complete sale.  This gives us a different perspective of the quantity of homes available on the market.</w:t>
      </w:r>
    </w:p>
    <w:p w14:paraId="7D7FFD44" w14:textId="77777777" w:rsidR="001347B5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322417CF" w14:textId="01F4FDD6" w:rsidR="001347B5" w:rsidRDefault="001347B5" w:rsidP="001347B5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Subtracting the </w:t>
      </w:r>
      <w:r w:rsidR="00794F4A">
        <w:rPr>
          <w:sz w:val="24"/>
          <w:szCs w:val="24"/>
        </w:rPr>
        <w:t>1</w:t>
      </w:r>
      <w:r w:rsidR="0018763A">
        <w:rPr>
          <w:sz w:val="24"/>
          <w:szCs w:val="24"/>
        </w:rPr>
        <w:t>,</w:t>
      </w:r>
      <w:r w:rsidR="00794F4A">
        <w:rPr>
          <w:sz w:val="24"/>
          <w:szCs w:val="24"/>
        </w:rPr>
        <w:t>8</w:t>
      </w:r>
      <w:r w:rsidR="0018763A">
        <w:rPr>
          <w:sz w:val="24"/>
          <w:szCs w:val="24"/>
        </w:rPr>
        <w:t>40</w:t>
      </w:r>
      <w:r>
        <w:rPr>
          <w:sz w:val="24"/>
          <w:szCs w:val="24"/>
        </w:rPr>
        <w:t xml:space="preserve"> listings with an active offer from total current listings presents an effective inventory level of </w:t>
      </w:r>
      <w:r w:rsidR="00884390">
        <w:rPr>
          <w:sz w:val="24"/>
          <w:szCs w:val="24"/>
        </w:rPr>
        <w:t>2</w:t>
      </w:r>
      <w:r w:rsidR="00FE44EA">
        <w:rPr>
          <w:sz w:val="24"/>
          <w:szCs w:val="24"/>
        </w:rPr>
        <w:t>.</w:t>
      </w:r>
      <w:r w:rsidR="0018763A">
        <w:rPr>
          <w:sz w:val="24"/>
          <w:szCs w:val="24"/>
        </w:rPr>
        <w:t>1</w:t>
      </w:r>
      <w:r>
        <w:rPr>
          <w:sz w:val="24"/>
          <w:szCs w:val="24"/>
        </w:rPr>
        <w:t xml:space="preserve"> months.  A year ago, the same calculation showed </w:t>
      </w:r>
      <w:r w:rsidR="00712ABB">
        <w:rPr>
          <w:sz w:val="24"/>
          <w:szCs w:val="24"/>
        </w:rPr>
        <w:t>October</w:t>
      </w:r>
      <w:r w:rsidR="00FE44EA">
        <w:rPr>
          <w:sz w:val="24"/>
          <w:szCs w:val="24"/>
        </w:rPr>
        <w:t xml:space="preserve">’s inventory level at </w:t>
      </w:r>
      <w:r w:rsidR="000561A4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18763A">
        <w:rPr>
          <w:sz w:val="24"/>
          <w:szCs w:val="24"/>
        </w:rPr>
        <w:t>2</w:t>
      </w:r>
      <w:r>
        <w:rPr>
          <w:sz w:val="24"/>
          <w:szCs w:val="24"/>
        </w:rPr>
        <w:t xml:space="preserve"> months</w:t>
      </w:r>
      <w:r w:rsidR="00FE44E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6FDCD464" w14:textId="2C48D468" w:rsidR="009F093E" w:rsidRDefault="009F093E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01096C5B" w14:textId="618E98FA" w:rsidR="009F093E" w:rsidRDefault="009F093E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368F9852" w14:textId="77777777" w:rsidR="009F093E" w:rsidRDefault="009F093E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0401214E" w14:textId="77777777" w:rsidR="009F093E" w:rsidRDefault="009F093E" w:rsidP="009F093E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Sales numbers would be higher (and there would be more happy buyers) if there were an adequate supply of single-family and condominium units in the market.</w:t>
      </w:r>
    </w:p>
    <w:p w14:paraId="3A676E99" w14:textId="77777777" w:rsidR="009F093E" w:rsidRDefault="009F093E" w:rsidP="009F093E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2D0AC571" w14:textId="77777777" w:rsidR="009F093E" w:rsidRDefault="009F093E" w:rsidP="009F093E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For the last few years, resources have been allocated to apartment development, tying up labor and materials that could be used to alleviate the demand for single-family and condominium units in the region. </w:t>
      </w:r>
    </w:p>
    <w:p w14:paraId="11453C12" w14:textId="77777777" w:rsidR="009F093E" w:rsidRDefault="009F093E" w:rsidP="009F093E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281E44F9" w14:textId="77777777" w:rsidR="009F093E" w:rsidRDefault="009F093E" w:rsidP="009F093E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Additionally, many communities are missing the quality of life enhancements that homeownership provides – long-term community engagement, building wealth via property ownership, etc.</w:t>
      </w:r>
    </w:p>
    <w:p w14:paraId="23300373" w14:textId="67ECE395" w:rsidR="009F093E" w:rsidRDefault="009F093E" w:rsidP="001347B5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05E3AF9D" w14:textId="2AF25547" w:rsidR="0018763A" w:rsidRPr="0018763A" w:rsidRDefault="0018763A" w:rsidP="001347B5">
      <w:pPr>
        <w:spacing w:before="120" w:after="120"/>
        <w:ind w:left="-360" w:right="-360"/>
        <w:contextualSpacing/>
        <w:rPr>
          <w:b/>
          <w:bCs/>
          <w:sz w:val="24"/>
          <w:szCs w:val="24"/>
          <w:u w:val="single"/>
        </w:rPr>
      </w:pPr>
      <w:r w:rsidRPr="0018763A">
        <w:rPr>
          <w:b/>
          <w:bCs/>
          <w:sz w:val="24"/>
          <w:szCs w:val="24"/>
          <w:u w:val="single"/>
        </w:rPr>
        <w:t>Year End</w:t>
      </w:r>
    </w:p>
    <w:p w14:paraId="0F4C9FCC" w14:textId="1B1B5773" w:rsidR="00D4152B" w:rsidRDefault="0018763A" w:rsidP="0018763A">
      <w:pPr>
        <w:spacing w:before="120" w:after="120"/>
        <w:ind w:left="-360" w:right="-360"/>
        <w:contextualSpacing/>
      </w:pPr>
      <w:r>
        <w:t>Based on the average sales for the final quarter over the last 3 years, the four-county area can expect about 4,585 sales in the 4</w:t>
      </w:r>
      <w:r w:rsidRPr="004A3A91">
        <w:rPr>
          <w:vertAlign w:val="superscript"/>
        </w:rPr>
        <w:t>th</w:t>
      </w:r>
      <w:r>
        <w:t xml:space="preserve"> quarter of 2019. That would yield an annual total of 20,431 sales, about 3%, 629 total units,</w:t>
      </w:r>
    </w:p>
    <w:tbl>
      <w:tblPr>
        <w:tblStyle w:val="TableGrid"/>
        <w:tblpPr w:leftFromText="180" w:rightFromText="180" w:vertAnchor="text" w:horzAnchor="margin" w:tblpX="-360" w:tblpY="2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976"/>
        <w:gridCol w:w="976"/>
        <w:gridCol w:w="976"/>
        <w:gridCol w:w="976"/>
      </w:tblGrid>
      <w:tr w:rsidR="00D4152B" w:rsidRPr="00D4152B" w14:paraId="74846419" w14:textId="77777777" w:rsidTr="00D4152B">
        <w:trPr>
          <w:trHeight w:val="300"/>
        </w:trPr>
        <w:tc>
          <w:tcPr>
            <w:tcW w:w="1165" w:type="dxa"/>
            <w:shd w:val="clear" w:color="auto" w:fill="1F4E79" w:themeFill="accent1" w:themeFillShade="80"/>
            <w:noWrap/>
            <w:hideMark/>
          </w:tcPr>
          <w:p w14:paraId="099B0C69" w14:textId="5B886BA9" w:rsidR="00D4152B" w:rsidRPr="00D4152B" w:rsidRDefault="00D4152B" w:rsidP="00D4152B">
            <w:pPr>
              <w:spacing w:before="120" w:after="120"/>
              <w:contextualSpacing/>
              <w:rPr>
                <w:color w:val="FFFFFF" w:themeColor="background1"/>
              </w:rPr>
            </w:pPr>
          </w:p>
        </w:tc>
        <w:tc>
          <w:tcPr>
            <w:tcW w:w="976" w:type="dxa"/>
            <w:shd w:val="clear" w:color="auto" w:fill="1F4E79" w:themeFill="accent1" w:themeFillShade="80"/>
            <w:noWrap/>
            <w:hideMark/>
          </w:tcPr>
          <w:p w14:paraId="1C37CD92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  <w:color w:val="FFFFFF" w:themeColor="background1"/>
              </w:rPr>
            </w:pPr>
            <w:r w:rsidRPr="00D4152B">
              <w:rPr>
                <w:b/>
                <w:bCs/>
                <w:color w:val="FFFFFF" w:themeColor="background1"/>
              </w:rPr>
              <w:t>2016</w:t>
            </w:r>
          </w:p>
        </w:tc>
        <w:tc>
          <w:tcPr>
            <w:tcW w:w="976" w:type="dxa"/>
            <w:shd w:val="clear" w:color="auto" w:fill="1F4E79" w:themeFill="accent1" w:themeFillShade="80"/>
            <w:noWrap/>
            <w:hideMark/>
          </w:tcPr>
          <w:p w14:paraId="23D62113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  <w:color w:val="FFFFFF" w:themeColor="background1"/>
              </w:rPr>
            </w:pPr>
            <w:r w:rsidRPr="00D4152B">
              <w:rPr>
                <w:b/>
                <w:bCs/>
                <w:color w:val="FFFFFF" w:themeColor="background1"/>
              </w:rPr>
              <w:t>2017</w:t>
            </w:r>
          </w:p>
        </w:tc>
        <w:tc>
          <w:tcPr>
            <w:tcW w:w="976" w:type="dxa"/>
            <w:shd w:val="clear" w:color="auto" w:fill="1F4E79" w:themeFill="accent1" w:themeFillShade="80"/>
            <w:noWrap/>
            <w:hideMark/>
          </w:tcPr>
          <w:p w14:paraId="68BF90DE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  <w:color w:val="FFFFFF" w:themeColor="background1"/>
              </w:rPr>
            </w:pPr>
            <w:r w:rsidRPr="00D4152B">
              <w:rPr>
                <w:b/>
                <w:bCs/>
                <w:color w:val="FFFFFF" w:themeColor="background1"/>
              </w:rPr>
              <w:t>2018</w:t>
            </w:r>
          </w:p>
        </w:tc>
        <w:tc>
          <w:tcPr>
            <w:tcW w:w="976" w:type="dxa"/>
            <w:shd w:val="clear" w:color="auto" w:fill="1F4E79" w:themeFill="accent1" w:themeFillShade="80"/>
            <w:noWrap/>
            <w:hideMark/>
          </w:tcPr>
          <w:p w14:paraId="182592FB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  <w:color w:val="FFFFFF" w:themeColor="background1"/>
              </w:rPr>
            </w:pPr>
            <w:r w:rsidRPr="00D4152B">
              <w:rPr>
                <w:b/>
                <w:bCs/>
                <w:color w:val="FFFFFF" w:themeColor="background1"/>
              </w:rPr>
              <w:t>2019</w:t>
            </w:r>
          </w:p>
        </w:tc>
      </w:tr>
      <w:tr w:rsidR="00D4152B" w:rsidRPr="00D4152B" w14:paraId="706CC635" w14:textId="77777777" w:rsidTr="00D4152B">
        <w:trPr>
          <w:trHeight w:val="300"/>
        </w:trPr>
        <w:tc>
          <w:tcPr>
            <w:tcW w:w="1165" w:type="dxa"/>
            <w:noWrap/>
            <w:hideMark/>
          </w:tcPr>
          <w:p w14:paraId="160106C6" w14:textId="2FB27B97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Oct</w:t>
            </w:r>
          </w:p>
        </w:tc>
        <w:tc>
          <w:tcPr>
            <w:tcW w:w="976" w:type="dxa"/>
            <w:noWrap/>
            <w:hideMark/>
          </w:tcPr>
          <w:p w14:paraId="406D9ECA" w14:textId="0B822FCE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697</w:t>
            </w:r>
          </w:p>
        </w:tc>
        <w:tc>
          <w:tcPr>
            <w:tcW w:w="976" w:type="dxa"/>
            <w:noWrap/>
            <w:hideMark/>
          </w:tcPr>
          <w:p w14:paraId="48718273" w14:textId="06857CFA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802</w:t>
            </w:r>
          </w:p>
        </w:tc>
        <w:tc>
          <w:tcPr>
            <w:tcW w:w="976" w:type="dxa"/>
            <w:noWrap/>
            <w:hideMark/>
          </w:tcPr>
          <w:p w14:paraId="45A6522A" w14:textId="3367BB0C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700</w:t>
            </w:r>
          </w:p>
        </w:tc>
        <w:tc>
          <w:tcPr>
            <w:tcW w:w="976" w:type="dxa"/>
            <w:noWrap/>
            <w:hideMark/>
          </w:tcPr>
          <w:p w14:paraId="18AAEDAD" w14:textId="2D7F8D08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835</w:t>
            </w:r>
          </w:p>
        </w:tc>
      </w:tr>
      <w:tr w:rsidR="00D4152B" w:rsidRPr="00D4152B" w14:paraId="28565AA8" w14:textId="77777777" w:rsidTr="00D4152B">
        <w:trPr>
          <w:trHeight w:val="300"/>
        </w:trPr>
        <w:tc>
          <w:tcPr>
            <w:tcW w:w="1165" w:type="dxa"/>
            <w:shd w:val="clear" w:color="auto" w:fill="DEEAF6" w:themeFill="accent1" w:themeFillTint="33"/>
            <w:noWrap/>
            <w:hideMark/>
          </w:tcPr>
          <w:p w14:paraId="17FCE095" w14:textId="53E07860" w:rsidR="00D4152B" w:rsidRPr="00D4152B" w:rsidRDefault="00D4152B" w:rsidP="00D4152B">
            <w:pPr>
              <w:spacing w:before="120" w:after="120"/>
              <w:contextualSpacing/>
            </w:pPr>
            <w:r>
              <w:t>Nov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5B407B62" w14:textId="0BD3515C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463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53CA54D6" w14:textId="4A18486E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540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142587B6" w14:textId="61F948B9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549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7ED40F28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</w:tr>
      <w:tr w:rsidR="00D4152B" w:rsidRPr="00D4152B" w14:paraId="72C7F6F0" w14:textId="77777777" w:rsidTr="00D4152B">
        <w:trPr>
          <w:trHeight w:val="300"/>
        </w:trPr>
        <w:tc>
          <w:tcPr>
            <w:tcW w:w="1165" w:type="dxa"/>
            <w:tcBorders>
              <w:bottom w:val="single" w:sz="4" w:space="0" w:color="auto"/>
            </w:tcBorders>
            <w:noWrap/>
            <w:hideMark/>
          </w:tcPr>
          <w:p w14:paraId="13E0B2E1" w14:textId="7897A5B3" w:rsidR="00D4152B" w:rsidRPr="00D4152B" w:rsidRDefault="00D4152B" w:rsidP="00D4152B">
            <w:pPr>
              <w:spacing w:before="120" w:after="120"/>
              <w:contextualSpacing/>
            </w:pPr>
            <w:r>
              <w:t>Dec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 w14:paraId="2E3B1F08" w14:textId="44E4E82D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371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 w14:paraId="2D223FB6" w14:textId="209F73FD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392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 w14:paraId="15F2FFBD" w14:textId="2F7CCE0B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1</w:t>
            </w:r>
            <w:r>
              <w:t>,</w:t>
            </w:r>
            <w:r w:rsidRPr="00D4152B">
              <w:t>242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 w14:paraId="2649A83D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</w:tr>
      <w:tr w:rsidR="00D4152B" w:rsidRPr="00D4152B" w14:paraId="6ADDE6C5" w14:textId="77777777" w:rsidTr="00D4152B">
        <w:trPr>
          <w:trHeight w:val="300"/>
        </w:trPr>
        <w:tc>
          <w:tcPr>
            <w:tcW w:w="1165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7C5939AA" w14:textId="5213C564" w:rsidR="00D4152B" w:rsidRPr="00D4152B" w:rsidRDefault="00D4152B" w:rsidP="00D4152B">
            <w:pPr>
              <w:spacing w:before="120" w:after="120"/>
              <w:contextualSpacing/>
            </w:pPr>
            <w:r>
              <w:t>4</w:t>
            </w:r>
            <w:r w:rsidRPr="00D4152B">
              <w:rPr>
                <w:vertAlign w:val="superscript"/>
              </w:rPr>
              <w:t>th</w:t>
            </w:r>
            <w:r>
              <w:t xml:space="preserve"> Qtr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06061EEE" w14:textId="1CABD134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4</w:t>
            </w:r>
            <w:r>
              <w:t>,</w:t>
            </w:r>
            <w:r w:rsidRPr="00D4152B">
              <w:t>531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3DD40CA" w14:textId="20316417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4</w:t>
            </w:r>
            <w:r>
              <w:t>,</w:t>
            </w:r>
            <w:r w:rsidRPr="00D4152B">
              <w:t>734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4A0B654A" w14:textId="21D97C28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4</w:t>
            </w:r>
            <w:r>
              <w:t>,</w:t>
            </w:r>
            <w:r w:rsidRPr="00D4152B">
              <w:t>491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DEEAF6" w:themeFill="accent1" w:themeFillTint="33"/>
            <w:noWrap/>
            <w:hideMark/>
          </w:tcPr>
          <w:p w14:paraId="3239B4E8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</w:tr>
      <w:tr w:rsidR="00D4152B" w:rsidRPr="00D4152B" w14:paraId="55604C44" w14:textId="77777777" w:rsidTr="00D4152B">
        <w:trPr>
          <w:trHeight w:val="300"/>
        </w:trPr>
        <w:tc>
          <w:tcPr>
            <w:tcW w:w="1165" w:type="dxa"/>
            <w:noWrap/>
            <w:hideMark/>
          </w:tcPr>
          <w:p w14:paraId="5DEB0023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  <w:tc>
          <w:tcPr>
            <w:tcW w:w="976" w:type="dxa"/>
            <w:noWrap/>
            <w:hideMark/>
          </w:tcPr>
          <w:p w14:paraId="1B712033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  <w:tc>
          <w:tcPr>
            <w:tcW w:w="976" w:type="dxa"/>
            <w:noWrap/>
            <w:hideMark/>
          </w:tcPr>
          <w:p w14:paraId="5DED0411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  <w:tc>
          <w:tcPr>
            <w:tcW w:w="976" w:type="dxa"/>
            <w:noWrap/>
            <w:hideMark/>
          </w:tcPr>
          <w:p w14:paraId="68C1DB36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  <w:tc>
          <w:tcPr>
            <w:tcW w:w="976" w:type="dxa"/>
            <w:noWrap/>
            <w:hideMark/>
          </w:tcPr>
          <w:p w14:paraId="70039B0E" w14:textId="77777777" w:rsidR="00D4152B" w:rsidRPr="00D4152B" w:rsidRDefault="00D4152B" w:rsidP="00D4152B">
            <w:pPr>
              <w:spacing w:before="120" w:after="120"/>
              <w:contextualSpacing/>
            </w:pPr>
          </w:p>
        </w:tc>
      </w:tr>
      <w:tr w:rsidR="00D4152B" w:rsidRPr="00D4152B" w14:paraId="7580E09C" w14:textId="77777777" w:rsidTr="00D4152B">
        <w:trPr>
          <w:trHeight w:val="300"/>
        </w:trPr>
        <w:tc>
          <w:tcPr>
            <w:tcW w:w="1165" w:type="dxa"/>
            <w:shd w:val="clear" w:color="auto" w:fill="DEEAF6" w:themeFill="accent1" w:themeFillTint="33"/>
            <w:noWrap/>
            <w:hideMark/>
          </w:tcPr>
          <w:p w14:paraId="6A5AA0FF" w14:textId="77777777" w:rsidR="00D4152B" w:rsidRPr="00D4152B" w:rsidRDefault="00D4152B" w:rsidP="00D4152B">
            <w:pPr>
              <w:spacing w:before="120" w:after="120"/>
              <w:contextualSpacing/>
            </w:pPr>
            <w:r w:rsidRPr="00D4152B">
              <w:t>Year End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31DF3DBD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</w:rPr>
            </w:pPr>
            <w:r w:rsidRPr="00D4152B">
              <w:rPr>
                <w:b/>
                <w:bCs/>
              </w:rPr>
              <w:t>21,007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5C50531A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</w:rPr>
            </w:pPr>
            <w:r w:rsidRPr="00D4152B">
              <w:rPr>
                <w:b/>
                <w:bCs/>
              </w:rPr>
              <w:t>21,357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1090E550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</w:rPr>
            </w:pPr>
            <w:r w:rsidRPr="00D4152B">
              <w:rPr>
                <w:b/>
                <w:bCs/>
              </w:rPr>
              <w:t>21,060</w:t>
            </w:r>
          </w:p>
        </w:tc>
        <w:tc>
          <w:tcPr>
            <w:tcW w:w="976" w:type="dxa"/>
            <w:shd w:val="clear" w:color="auto" w:fill="DEEAF6" w:themeFill="accent1" w:themeFillTint="33"/>
            <w:noWrap/>
            <w:hideMark/>
          </w:tcPr>
          <w:p w14:paraId="21B9F1E0" w14:textId="77777777" w:rsidR="00D4152B" w:rsidRPr="00D4152B" w:rsidRDefault="00D4152B" w:rsidP="00D4152B">
            <w:pPr>
              <w:spacing w:before="120" w:after="120"/>
              <w:contextualSpacing/>
              <w:rPr>
                <w:b/>
                <w:bCs/>
              </w:rPr>
            </w:pPr>
            <w:r w:rsidRPr="00D4152B">
              <w:rPr>
                <w:b/>
                <w:bCs/>
              </w:rPr>
              <w:t>17,681*</w:t>
            </w:r>
          </w:p>
        </w:tc>
      </w:tr>
      <w:tr w:rsidR="00D4152B" w:rsidRPr="00D4152B" w14:paraId="277D2AFD" w14:textId="77777777" w:rsidTr="00D77B73">
        <w:trPr>
          <w:trHeight w:val="300"/>
        </w:trPr>
        <w:tc>
          <w:tcPr>
            <w:tcW w:w="5069" w:type="dxa"/>
            <w:gridSpan w:val="5"/>
            <w:shd w:val="clear" w:color="auto" w:fill="auto"/>
            <w:noWrap/>
          </w:tcPr>
          <w:p w14:paraId="79720D82" w14:textId="3813C34D" w:rsidR="00D4152B" w:rsidRPr="00D4152B" w:rsidRDefault="00D4152B" w:rsidP="00D4152B">
            <w:pPr>
              <w:spacing w:before="120" w:after="120"/>
              <w:ind w:left="-12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 </w:t>
            </w:r>
            <w:r w:rsidRPr="00D4152B">
              <w:rPr>
                <w:sz w:val="16"/>
                <w:szCs w:val="16"/>
              </w:rPr>
              <w:t>10 month total</w:t>
            </w:r>
          </w:p>
        </w:tc>
      </w:tr>
    </w:tbl>
    <w:p w14:paraId="7F7ED55A" w14:textId="02F68F21" w:rsidR="0018763A" w:rsidRDefault="0018763A" w:rsidP="00D4152B">
      <w:pPr>
        <w:spacing w:before="120" w:after="120"/>
        <w:contextualSpacing/>
      </w:pPr>
      <w:r>
        <w:t>behind 2018’s total</w:t>
      </w:r>
      <w:r w:rsidR="003B162B">
        <w:t xml:space="preserve"> of 21,060</w:t>
      </w:r>
      <w:r>
        <w:t>.</w:t>
      </w:r>
    </w:p>
    <w:p w14:paraId="47DD88E1" w14:textId="77777777" w:rsidR="00D4152B" w:rsidRDefault="00D4152B" w:rsidP="00D4152B">
      <w:pPr>
        <w:spacing w:before="120" w:after="120"/>
        <w:contextualSpacing/>
      </w:pPr>
    </w:p>
    <w:p w14:paraId="56579B4C" w14:textId="09E47F8D" w:rsidR="0018763A" w:rsidRDefault="0018763A" w:rsidP="0018763A">
      <w:pPr>
        <w:spacing w:before="120" w:after="120"/>
        <w:ind w:left="-360" w:right="-360"/>
        <w:contextualSpacing/>
        <w:rPr>
          <w:sz w:val="24"/>
          <w:szCs w:val="24"/>
        </w:rPr>
      </w:pPr>
      <w:r w:rsidRPr="00AC06E3">
        <w:t xml:space="preserve">The </w:t>
      </w:r>
      <w:r>
        <w:t>4</w:t>
      </w:r>
      <w:r w:rsidRPr="00BB6006">
        <w:rPr>
          <w:vertAlign w:val="superscript"/>
        </w:rPr>
        <w:t>th</w:t>
      </w:r>
      <w:r>
        <w:t xml:space="preserve"> quarter should produce around 6,417 additional sales in SE Wisconsin (based on a 3yr average), for a total of 28,017 annual sales, putting the region 0.6% behind 2018’s total of 28,180.</w:t>
      </w:r>
    </w:p>
    <w:p w14:paraId="2DB22EA7" w14:textId="1B972689" w:rsidR="000D45BC" w:rsidRDefault="000D45BC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10AE1E14" w14:textId="2BAD5A07" w:rsidR="00D4152B" w:rsidRDefault="00D4152B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3463911D" w14:textId="062B3965" w:rsidR="00D4152B" w:rsidRDefault="00D4152B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434586F9" w14:textId="77777777" w:rsidR="00E83629" w:rsidRDefault="00E83629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51F76C6D" w14:textId="77777777" w:rsidR="00D4152B" w:rsidRDefault="00D4152B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27B476F7" w14:textId="77777777" w:rsidR="00127EF0" w:rsidRDefault="00127EF0" w:rsidP="001F5CBD">
      <w:pPr>
        <w:spacing w:before="120" w:after="120"/>
        <w:ind w:left="-360" w:right="-360"/>
        <w:contextualSpacing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Where to go</w:t>
      </w:r>
    </w:p>
    <w:p w14:paraId="5144A158" w14:textId="77777777" w:rsidR="00127EF0" w:rsidRDefault="00127EF0" w:rsidP="001F5CBD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Buyers should seek the counsel of a REALTOR® in determining their best housing options, and sellers need a REALTORS® expert advice in making correct marketing decisions with their home</w:t>
      </w:r>
      <w:r w:rsidR="001B4CFE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50EE8EF9" w14:textId="77777777" w:rsidR="00127EF0" w:rsidRDefault="00127EF0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6AEFD6C6" w14:textId="77777777" w:rsidR="00127EF0" w:rsidRDefault="00127EF0" w:rsidP="001F5CBD">
      <w:pPr>
        <w:spacing w:before="120" w:after="120"/>
        <w:ind w:left="-360" w:right="-360"/>
        <w:contextualSpacing/>
        <w:rPr>
          <w:sz w:val="24"/>
          <w:szCs w:val="24"/>
        </w:rPr>
      </w:pPr>
      <w:r>
        <w:rPr>
          <w:sz w:val="24"/>
          <w:szCs w:val="24"/>
        </w:rPr>
        <w:t>The Greater Milwaukee Association of REALTORS</w:t>
      </w:r>
      <w:r>
        <w:rPr>
          <w:sz w:val="24"/>
          <w:szCs w:val="24"/>
          <w:vertAlign w:val="superscript"/>
        </w:rPr>
        <w:t>®</w:t>
      </w:r>
      <w:r w:rsidR="001E0262">
        <w:rPr>
          <w:sz w:val="24"/>
          <w:szCs w:val="24"/>
        </w:rPr>
        <w:t xml:space="preserve"> is a 4,5</w:t>
      </w:r>
      <w:r>
        <w:rPr>
          <w:sz w:val="24"/>
          <w:szCs w:val="24"/>
        </w:rPr>
        <w:t>00-member strong professional organization dedicated to providing information, services and products to “help REALTORS</w:t>
      </w:r>
      <w:r>
        <w:rPr>
          <w:sz w:val="24"/>
          <w:szCs w:val="24"/>
          <w:vertAlign w:val="superscript"/>
        </w:rPr>
        <w:t>®</w:t>
      </w:r>
      <w:r>
        <w:rPr>
          <w:sz w:val="24"/>
          <w:szCs w:val="24"/>
        </w:rPr>
        <w:t xml:space="preserve"> help their clients” buy and sell real estate.  Data for this report was collected by Metro MLS, Inc. a wholly-owned subsidiary of the GMAR.</w:t>
      </w:r>
    </w:p>
    <w:p w14:paraId="0E0F4E7D" w14:textId="77777777" w:rsidR="00127EF0" w:rsidRDefault="00127EF0" w:rsidP="001F5CBD">
      <w:pPr>
        <w:spacing w:before="120" w:after="120"/>
        <w:ind w:left="-360" w:right="-360"/>
        <w:contextualSpacing/>
        <w:rPr>
          <w:sz w:val="24"/>
          <w:szCs w:val="24"/>
        </w:rPr>
      </w:pPr>
    </w:p>
    <w:p w14:paraId="7C42BBE4" w14:textId="059DBAB3" w:rsidR="000D45BC" w:rsidRPr="00794F4A" w:rsidRDefault="00127EF0" w:rsidP="009B3EAE">
      <w:pPr>
        <w:spacing w:before="120" w:after="120"/>
        <w:ind w:left="-360" w:right="-360"/>
        <w:contextualSpacing/>
        <w:jc w:val="both"/>
        <w:rPr>
          <w:sz w:val="18"/>
          <w:szCs w:val="18"/>
        </w:rPr>
      </w:pPr>
      <w:r w:rsidRPr="00794F4A">
        <w:rPr>
          <w:sz w:val="18"/>
          <w:szCs w:val="18"/>
        </w:rPr>
        <w:t>* Sales and Listing figures differ between the “Monthly Stats” and “4th qtr” (or year-end) because the collection of “Monthly Stats” ends on the 10</w:t>
      </w:r>
      <w:r w:rsidRPr="00794F4A">
        <w:rPr>
          <w:sz w:val="18"/>
          <w:szCs w:val="18"/>
          <w:vertAlign w:val="superscript"/>
        </w:rPr>
        <w:t>th</w:t>
      </w:r>
      <w:r w:rsidRPr="00794F4A">
        <w:rPr>
          <w:sz w:val="18"/>
          <w:szCs w:val="18"/>
        </w:rPr>
        <w:t xml:space="preserve"> of each month; whereas the “4</w:t>
      </w:r>
      <w:r w:rsidRPr="00794F4A">
        <w:rPr>
          <w:sz w:val="18"/>
          <w:szCs w:val="18"/>
          <w:vertAlign w:val="superscript"/>
        </w:rPr>
        <w:t>th</w:t>
      </w:r>
      <w:r w:rsidRPr="00794F4A">
        <w:rPr>
          <w:sz w:val="18"/>
          <w:szCs w:val="18"/>
        </w:rPr>
        <w:t xml:space="preserve"> qtr” is a continuous tally to 12/31.  For example, if a sale occurred on </w:t>
      </w:r>
      <w:r w:rsidR="00712ABB">
        <w:rPr>
          <w:sz w:val="18"/>
          <w:szCs w:val="18"/>
        </w:rPr>
        <w:t>October</w:t>
      </w:r>
      <w:r w:rsidRPr="00794F4A">
        <w:rPr>
          <w:sz w:val="18"/>
          <w:szCs w:val="18"/>
        </w:rPr>
        <w:t xml:space="preserve"> 29</w:t>
      </w:r>
      <w:r w:rsidRPr="00794F4A">
        <w:rPr>
          <w:sz w:val="18"/>
          <w:szCs w:val="18"/>
          <w:vertAlign w:val="superscript"/>
        </w:rPr>
        <w:t>th</w:t>
      </w:r>
      <w:r w:rsidRPr="00794F4A">
        <w:rPr>
          <w:sz w:val="18"/>
          <w:szCs w:val="18"/>
        </w:rPr>
        <w:t xml:space="preserve">, but the agent does not record the sale until </w:t>
      </w:r>
      <w:r w:rsidR="00712ABB">
        <w:rPr>
          <w:sz w:val="18"/>
          <w:szCs w:val="18"/>
        </w:rPr>
        <w:t>October</w:t>
      </w:r>
      <w:r w:rsidRPr="00794F4A">
        <w:rPr>
          <w:sz w:val="18"/>
          <w:szCs w:val="18"/>
        </w:rPr>
        <w:t xml:space="preserve"> 11</w:t>
      </w:r>
      <w:r w:rsidRPr="00794F4A">
        <w:rPr>
          <w:sz w:val="18"/>
          <w:szCs w:val="18"/>
          <w:vertAlign w:val="superscript"/>
        </w:rPr>
        <w:t>th</w:t>
      </w:r>
      <w:r w:rsidRPr="00794F4A">
        <w:rPr>
          <w:sz w:val="18"/>
          <w:szCs w:val="18"/>
        </w:rPr>
        <w:t xml:space="preserve">, that sale would not be included in the </w:t>
      </w:r>
      <w:r w:rsidR="00712ABB">
        <w:rPr>
          <w:sz w:val="18"/>
          <w:szCs w:val="18"/>
        </w:rPr>
        <w:t>October</w:t>
      </w:r>
      <w:r w:rsidRPr="00794F4A">
        <w:rPr>
          <w:sz w:val="18"/>
          <w:szCs w:val="18"/>
        </w:rPr>
        <w:t xml:space="preserve"> sales figures (or any subsequent month’s total) but would be added to the annual total sales figure in the “4</w:t>
      </w:r>
      <w:r w:rsidRPr="00794F4A">
        <w:rPr>
          <w:sz w:val="18"/>
          <w:szCs w:val="18"/>
          <w:vertAlign w:val="superscript"/>
        </w:rPr>
        <w:t>th</w:t>
      </w:r>
      <w:r w:rsidRPr="00794F4A">
        <w:rPr>
          <w:sz w:val="18"/>
          <w:szCs w:val="18"/>
        </w:rPr>
        <w:t xml:space="preserve"> qtr” total.</w:t>
      </w:r>
      <w:bookmarkEnd w:id="0"/>
    </w:p>
    <w:sectPr w:rsidR="000D45BC" w:rsidRPr="00794F4A" w:rsidSect="00AD053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83"/>
    <w:rsid w:val="0000535B"/>
    <w:rsid w:val="0002203D"/>
    <w:rsid w:val="000231FD"/>
    <w:rsid w:val="00027936"/>
    <w:rsid w:val="00036C88"/>
    <w:rsid w:val="00050EC7"/>
    <w:rsid w:val="000561A4"/>
    <w:rsid w:val="00063605"/>
    <w:rsid w:val="000643AB"/>
    <w:rsid w:val="00085C75"/>
    <w:rsid w:val="000871EE"/>
    <w:rsid w:val="000A3217"/>
    <w:rsid w:val="000D45BC"/>
    <w:rsid w:val="000E6853"/>
    <w:rsid w:val="000F21F9"/>
    <w:rsid w:val="000F44FF"/>
    <w:rsid w:val="00127EF0"/>
    <w:rsid w:val="001312C0"/>
    <w:rsid w:val="001347B5"/>
    <w:rsid w:val="0013524F"/>
    <w:rsid w:val="00153E7F"/>
    <w:rsid w:val="001559E4"/>
    <w:rsid w:val="00156337"/>
    <w:rsid w:val="001710C0"/>
    <w:rsid w:val="00183378"/>
    <w:rsid w:val="00186DB6"/>
    <w:rsid w:val="0018763A"/>
    <w:rsid w:val="001A060A"/>
    <w:rsid w:val="001B00EC"/>
    <w:rsid w:val="001B4CFE"/>
    <w:rsid w:val="001B610A"/>
    <w:rsid w:val="001C2406"/>
    <w:rsid w:val="001C62A3"/>
    <w:rsid w:val="001D3B78"/>
    <w:rsid w:val="001E0262"/>
    <w:rsid w:val="001F0911"/>
    <w:rsid w:val="001F5CBD"/>
    <w:rsid w:val="00211BC4"/>
    <w:rsid w:val="0023346D"/>
    <w:rsid w:val="002369FD"/>
    <w:rsid w:val="002460D3"/>
    <w:rsid w:val="00291172"/>
    <w:rsid w:val="002B0C16"/>
    <w:rsid w:val="002C0B6C"/>
    <w:rsid w:val="002F0554"/>
    <w:rsid w:val="003105DB"/>
    <w:rsid w:val="003121D0"/>
    <w:rsid w:val="003176C9"/>
    <w:rsid w:val="00323325"/>
    <w:rsid w:val="00326251"/>
    <w:rsid w:val="0033059A"/>
    <w:rsid w:val="0033551A"/>
    <w:rsid w:val="003639E9"/>
    <w:rsid w:val="003645F8"/>
    <w:rsid w:val="00366609"/>
    <w:rsid w:val="003724B8"/>
    <w:rsid w:val="0038065B"/>
    <w:rsid w:val="00387C56"/>
    <w:rsid w:val="003B162B"/>
    <w:rsid w:val="003B1886"/>
    <w:rsid w:val="003C35B1"/>
    <w:rsid w:val="003D65E7"/>
    <w:rsid w:val="003F6C47"/>
    <w:rsid w:val="004217B7"/>
    <w:rsid w:val="0043767C"/>
    <w:rsid w:val="00437E34"/>
    <w:rsid w:val="00470AB1"/>
    <w:rsid w:val="0048406D"/>
    <w:rsid w:val="00486BF3"/>
    <w:rsid w:val="00487AC4"/>
    <w:rsid w:val="004A5FC1"/>
    <w:rsid w:val="004E6E55"/>
    <w:rsid w:val="00501774"/>
    <w:rsid w:val="00503E46"/>
    <w:rsid w:val="00510938"/>
    <w:rsid w:val="0052049F"/>
    <w:rsid w:val="00524132"/>
    <w:rsid w:val="00526222"/>
    <w:rsid w:val="00526B69"/>
    <w:rsid w:val="00534DD3"/>
    <w:rsid w:val="0054105F"/>
    <w:rsid w:val="00544E79"/>
    <w:rsid w:val="005508BA"/>
    <w:rsid w:val="00552DBB"/>
    <w:rsid w:val="005533BD"/>
    <w:rsid w:val="005552A3"/>
    <w:rsid w:val="00556E33"/>
    <w:rsid w:val="005637F6"/>
    <w:rsid w:val="00566209"/>
    <w:rsid w:val="00577F84"/>
    <w:rsid w:val="00580AAD"/>
    <w:rsid w:val="00585519"/>
    <w:rsid w:val="0059620F"/>
    <w:rsid w:val="005D6EC3"/>
    <w:rsid w:val="005E4C81"/>
    <w:rsid w:val="005F0E5D"/>
    <w:rsid w:val="00602021"/>
    <w:rsid w:val="006213F9"/>
    <w:rsid w:val="00623E52"/>
    <w:rsid w:val="00627F72"/>
    <w:rsid w:val="00637D71"/>
    <w:rsid w:val="00644CAB"/>
    <w:rsid w:val="00654B2A"/>
    <w:rsid w:val="006744A3"/>
    <w:rsid w:val="0068075F"/>
    <w:rsid w:val="006A1D0C"/>
    <w:rsid w:val="006B1AEE"/>
    <w:rsid w:val="006D13A0"/>
    <w:rsid w:val="006D176A"/>
    <w:rsid w:val="006D3CD7"/>
    <w:rsid w:val="006E60DF"/>
    <w:rsid w:val="006F7D1E"/>
    <w:rsid w:val="00707437"/>
    <w:rsid w:val="00712ABB"/>
    <w:rsid w:val="00742C85"/>
    <w:rsid w:val="00754539"/>
    <w:rsid w:val="00754FD0"/>
    <w:rsid w:val="0078467D"/>
    <w:rsid w:val="0079199D"/>
    <w:rsid w:val="0079305F"/>
    <w:rsid w:val="00794F4A"/>
    <w:rsid w:val="007B14DF"/>
    <w:rsid w:val="007B6D3B"/>
    <w:rsid w:val="007C3727"/>
    <w:rsid w:val="007C40CE"/>
    <w:rsid w:val="007D2108"/>
    <w:rsid w:val="007D5D49"/>
    <w:rsid w:val="007E478A"/>
    <w:rsid w:val="007F41E1"/>
    <w:rsid w:val="00807EDC"/>
    <w:rsid w:val="00815481"/>
    <w:rsid w:val="00817377"/>
    <w:rsid w:val="00822A10"/>
    <w:rsid w:val="00831BE0"/>
    <w:rsid w:val="00853C6E"/>
    <w:rsid w:val="008654F1"/>
    <w:rsid w:val="00884390"/>
    <w:rsid w:val="0089092A"/>
    <w:rsid w:val="0089320B"/>
    <w:rsid w:val="008A6861"/>
    <w:rsid w:val="008A6E66"/>
    <w:rsid w:val="008C042B"/>
    <w:rsid w:val="008D51A0"/>
    <w:rsid w:val="008F15EA"/>
    <w:rsid w:val="00902D03"/>
    <w:rsid w:val="0092306F"/>
    <w:rsid w:val="0093295D"/>
    <w:rsid w:val="00945145"/>
    <w:rsid w:val="00945C7F"/>
    <w:rsid w:val="00950D76"/>
    <w:rsid w:val="00950F55"/>
    <w:rsid w:val="009566F0"/>
    <w:rsid w:val="00960659"/>
    <w:rsid w:val="00963F99"/>
    <w:rsid w:val="009717AC"/>
    <w:rsid w:val="00973EEB"/>
    <w:rsid w:val="00982D3B"/>
    <w:rsid w:val="00986E1D"/>
    <w:rsid w:val="009A3885"/>
    <w:rsid w:val="009A4249"/>
    <w:rsid w:val="009B397A"/>
    <w:rsid w:val="009B3EAE"/>
    <w:rsid w:val="009B6FCA"/>
    <w:rsid w:val="009D1956"/>
    <w:rsid w:val="009D2241"/>
    <w:rsid w:val="009E7792"/>
    <w:rsid w:val="009F093E"/>
    <w:rsid w:val="009F10D6"/>
    <w:rsid w:val="009F1AE5"/>
    <w:rsid w:val="00A017CA"/>
    <w:rsid w:val="00A0790E"/>
    <w:rsid w:val="00A14517"/>
    <w:rsid w:val="00A17EB4"/>
    <w:rsid w:val="00A2539A"/>
    <w:rsid w:val="00A25CC3"/>
    <w:rsid w:val="00A344B6"/>
    <w:rsid w:val="00A36908"/>
    <w:rsid w:val="00A37F31"/>
    <w:rsid w:val="00A60995"/>
    <w:rsid w:val="00A648D1"/>
    <w:rsid w:val="00A66F2A"/>
    <w:rsid w:val="00A92A94"/>
    <w:rsid w:val="00A96CA0"/>
    <w:rsid w:val="00AA0F14"/>
    <w:rsid w:val="00AB1D2A"/>
    <w:rsid w:val="00AB2C89"/>
    <w:rsid w:val="00AB30DB"/>
    <w:rsid w:val="00AC3065"/>
    <w:rsid w:val="00AD0530"/>
    <w:rsid w:val="00AD4EC8"/>
    <w:rsid w:val="00AE1A13"/>
    <w:rsid w:val="00AF3EAF"/>
    <w:rsid w:val="00B01F83"/>
    <w:rsid w:val="00B062F3"/>
    <w:rsid w:val="00B704CC"/>
    <w:rsid w:val="00B93707"/>
    <w:rsid w:val="00BA70FF"/>
    <w:rsid w:val="00BA71CB"/>
    <w:rsid w:val="00BC1205"/>
    <w:rsid w:val="00BC4E28"/>
    <w:rsid w:val="00BD7407"/>
    <w:rsid w:val="00BE172C"/>
    <w:rsid w:val="00BE5BDE"/>
    <w:rsid w:val="00BF155E"/>
    <w:rsid w:val="00C042A4"/>
    <w:rsid w:val="00C10518"/>
    <w:rsid w:val="00C37BF8"/>
    <w:rsid w:val="00C41C9C"/>
    <w:rsid w:val="00C47808"/>
    <w:rsid w:val="00C5567F"/>
    <w:rsid w:val="00C66FB5"/>
    <w:rsid w:val="00C746BD"/>
    <w:rsid w:val="00C76AED"/>
    <w:rsid w:val="00C919A0"/>
    <w:rsid w:val="00CD08DE"/>
    <w:rsid w:val="00CD626E"/>
    <w:rsid w:val="00D01D6F"/>
    <w:rsid w:val="00D0513E"/>
    <w:rsid w:val="00D11FFF"/>
    <w:rsid w:val="00D27B49"/>
    <w:rsid w:val="00D30CAD"/>
    <w:rsid w:val="00D4152B"/>
    <w:rsid w:val="00D432FD"/>
    <w:rsid w:val="00D44446"/>
    <w:rsid w:val="00D5287E"/>
    <w:rsid w:val="00D56814"/>
    <w:rsid w:val="00DA2234"/>
    <w:rsid w:val="00DB7C1E"/>
    <w:rsid w:val="00DD184E"/>
    <w:rsid w:val="00E12D4D"/>
    <w:rsid w:val="00E12F08"/>
    <w:rsid w:val="00E22DD1"/>
    <w:rsid w:val="00E2528D"/>
    <w:rsid w:val="00E302C4"/>
    <w:rsid w:val="00E35D19"/>
    <w:rsid w:val="00E56F12"/>
    <w:rsid w:val="00E5745D"/>
    <w:rsid w:val="00E64AEC"/>
    <w:rsid w:val="00E65340"/>
    <w:rsid w:val="00E83629"/>
    <w:rsid w:val="00E8432A"/>
    <w:rsid w:val="00E926DC"/>
    <w:rsid w:val="00E93F72"/>
    <w:rsid w:val="00EA2981"/>
    <w:rsid w:val="00EC64B4"/>
    <w:rsid w:val="00EC789A"/>
    <w:rsid w:val="00ED577D"/>
    <w:rsid w:val="00F041D9"/>
    <w:rsid w:val="00F04E39"/>
    <w:rsid w:val="00F07937"/>
    <w:rsid w:val="00F079C3"/>
    <w:rsid w:val="00F1598A"/>
    <w:rsid w:val="00F27208"/>
    <w:rsid w:val="00F32518"/>
    <w:rsid w:val="00F34C38"/>
    <w:rsid w:val="00F35E94"/>
    <w:rsid w:val="00F4702E"/>
    <w:rsid w:val="00F56E8C"/>
    <w:rsid w:val="00F73353"/>
    <w:rsid w:val="00F81E12"/>
    <w:rsid w:val="00F858D3"/>
    <w:rsid w:val="00F93942"/>
    <w:rsid w:val="00F93B42"/>
    <w:rsid w:val="00F94B2E"/>
    <w:rsid w:val="00FA213D"/>
    <w:rsid w:val="00FC30D6"/>
    <w:rsid w:val="00FD76D1"/>
    <w:rsid w:val="00FE44EA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CEA97"/>
  <w15:chartTrackingRefBased/>
  <w15:docId w15:val="{A205BAC1-F34F-4B12-9904-58F3866C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mailto:mike@gmar.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ke@gmar.ws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/>
              <a:t>Inventory </a:t>
            </a:r>
            <a:r>
              <a:rPr lang="en-US" sz="900"/>
              <a:t>(units left</a:t>
            </a:r>
            <a:r>
              <a:rPr lang="en-US" sz="900" baseline="0"/>
              <a:t> side)</a:t>
            </a:r>
            <a:endParaRPr lang="en-US" sz="900"/>
          </a:p>
        </c:rich>
      </c:tx>
      <c:layout>
        <c:manualLayout>
          <c:xMode val="edge"/>
          <c:yMode val="edge"/>
          <c:x val="0.3380089467360593"/>
          <c:y val="3.497265168530832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Data'!$A$139</c:f>
              <c:strCache>
                <c:ptCount val="1"/>
                <c:pt idx="0">
                  <c:v>Current Active (Net)</c:v>
                </c:pt>
              </c:strCache>
            </c:strRef>
          </c:tx>
          <c:spPr>
            <a:solidFill>
              <a:schemeClr val="accent5">
                <a:shade val="65000"/>
              </a:schemeClr>
            </a:solidFill>
            <a:ln>
              <a:noFill/>
            </a:ln>
            <a:effectLst/>
          </c:spPr>
          <c:cat>
            <c:strRef>
              <c:f>'Monthly Stats Data'!$B$137:$N$137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 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June</c:v>
                </c:pt>
                <c:pt idx="9">
                  <c:v>July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Data'!$B$139:$N$139</c:f>
              <c:numCache>
                <c:formatCode>_(* #,##0_);_(* \(#,##0\);_(* "-"??_);_(@_)</c:formatCode>
                <c:ptCount val="13"/>
                <c:pt idx="0">
                  <c:v>5007</c:v>
                </c:pt>
                <c:pt idx="1">
                  <c:v>4583</c:v>
                </c:pt>
                <c:pt idx="2">
                  <c:v>3897</c:v>
                </c:pt>
                <c:pt idx="3">
                  <c:v>3389</c:v>
                </c:pt>
                <c:pt idx="4">
                  <c:v>3132</c:v>
                </c:pt>
                <c:pt idx="5">
                  <c:v>3233</c:v>
                </c:pt>
                <c:pt idx="6">
                  <c:v>3338</c:v>
                </c:pt>
                <c:pt idx="7">
                  <c:v>3571</c:v>
                </c:pt>
                <c:pt idx="8">
                  <c:v>4183</c:v>
                </c:pt>
                <c:pt idx="9">
                  <c:v>4255</c:v>
                </c:pt>
                <c:pt idx="10">
                  <c:v>4628</c:v>
                </c:pt>
                <c:pt idx="11">
                  <c:v>4742</c:v>
                </c:pt>
                <c:pt idx="12">
                  <c:v>4711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ED-4209-9A8D-880FE4BF89E3}"/>
            </c:ext>
          </c:extLst>
        </c:ser>
        <c:ser>
          <c:idx val="1"/>
          <c:order val="1"/>
          <c:tx>
            <c:strRef>
              <c:f>'Monthly Stats Data'!$A$140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'Monthly Stats Data'!$B$137:$N$137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 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June</c:v>
                </c:pt>
                <c:pt idx="9">
                  <c:v>July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Data'!$B$140:$N$140</c:f>
              <c:numCache>
                <c:formatCode>_(* #,##0_);_(* \(#,##0\);_(* "-"??_);_(@_)</c:formatCode>
                <c:ptCount val="13"/>
                <c:pt idx="0">
                  <c:v>1670</c:v>
                </c:pt>
                <c:pt idx="1">
                  <c:v>1330</c:v>
                </c:pt>
                <c:pt idx="2">
                  <c:v>1101</c:v>
                </c:pt>
                <c:pt idx="3">
                  <c:v>1631</c:v>
                </c:pt>
                <c:pt idx="4">
                  <c:v>1768</c:v>
                </c:pt>
                <c:pt idx="5">
                  <c:v>2321</c:v>
                </c:pt>
                <c:pt idx="6">
                  <c:v>2644</c:v>
                </c:pt>
                <c:pt idx="7">
                  <c:v>2867</c:v>
                </c:pt>
                <c:pt idx="8">
                  <c:v>2587</c:v>
                </c:pt>
                <c:pt idx="9">
                  <c:v>2432</c:v>
                </c:pt>
                <c:pt idx="10">
                  <c:v>2181</c:v>
                </c:pt>
                <c:pt idx="11">
                  <c:v>1958</c:v>
                </c:pt>
                <c:pt idx="12">
                  <c:v>1840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3ED-4209-9A8D-880FE4BF8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2"/>
          <c:order val="2"/>
          <c:tx>
            <c:strRef>
              <c:f>'Monthly Stats Data'!$A$141</c:f>
              <c:strCache>
                <c:ptCount val="1"/>
                <c:pt idx="0">
                  <c:v>Mos of Inventory (right)</c:v>
                </c:pt>
              </c:strCache>
            </c:strRef>
          </c:tx>
          <c:spPr>
            <a:ln w="28575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Data'!$B$137:$N$137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 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June</c:v>
                </c:pt>
                <c:pt idx="9">
                  <c:v>July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Data'!$B$141:$N$141</c:f>
              <c:numCache>
                <c:formatCode>0.0</c:formatCode>
                <c:ptCount val="13"/>
                <c:pt idx="0">
                  <c:v>2.2000000000000002</c:v>
                </c:pt>
                <c:pt idx="1">
                  <c:v>2</c:v>
                </c:pt>
                <c:pt idx="2">
                  <c:v>1.7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1.8</c:v>
                </c:pt>
                <c:pt idx="8">
                  <c:v>1.9</c:v>
                </c:pt>
                <c:pt idx="9">
                  <c:v>2.1</c:v>
                </c:pt>
                <c:pt idx="10">
                  <c:v>2.2999999999999998</c:v>
                </c:pt>
                <c:pt idx="11">
                  <c:v>2.2999999999999998</c:v>
                </c:pt>
                <c:pt idx="12">
                  <c:v>2.1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3ED-4209-9A8D-880FE4BF89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4</cp:revision>
  <cp:lastPrinted>2019-09-11T16:48:00Z</cp:lastPrinted>
  <dcterms:created xsi:type="dcterms:W3CDTF">2019-11-12T16:38:00Z</dcterms:created>
  <dcterms:modified xsi:type="dcterms:W3CDTF">2019-11-12T18:01:00Z</dcterms:modified>
</cp:coreProperties>
</file>