
<file path=[Content_Types].xml><?xml version="1.0" encoding="utf-8"?>
<Types xmlns="http://schemas.openxmlformats.org/package/2006/content-types">
  <Default Extension="gif" ContentType="image/gi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EDFBFF" w14:textId="77777777" w:rsidR="00127EF0" w:rsidRDefault="001F5CBD" w:rsidP="001F5CBD">
      <w:pPr>
        <w:jc w:val="center"/>
        <w:rPr>
          <w:sz w:val="24"/>
          <w:szCs w:val="24"/>
        </w:rPr>
      </w:pPr>
      <w:bookmarkStart w:id="0" w:name="_MailOriginal"/>
      <w:r>
        <w:rPr>
          <w:noProof/>
          <w:sz w:val="24"/>
          <w:szCs w:val="24"/>
        </w:rPr>
        <w:drawing>
          <wp:anchor distT="0" distB="0" distL="114300" distR="114300" simplePos="0" relativeHeight="251667456" behindDoc="0" locked="0" layoutInCell="1" allowOverlap="1" wp14:anchorId="51D589CA" wp14:editId="0813EEDE">
            <wp:simplePos x="0" y="0"/>
            <wp:positionH relativeFrom="column">
              <wp:posOffset>4257040</wp:posOffset>
            </wp:positionH>
            <wp:positionV relativeFrom="paragraph">
              <wp:posOffset>0</wp:posOffset>
            </wp:positionV>
            <wp:extent cx="2164715" cy="1000125"/>
            <wp:effectExtent l="0" t="0" r="6985" b="952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MAR Logo.gif"/>
                    <pic:cNvPicPr/>
                  </pic:nvPicPr>
                  <pic:blipFill>
                    <a:blip r:embed="rId5">
                      <a:extLst>
                        <a:ext uri="{28A0092B-C50C-407E-A947-70E740481C1C}">
                          <a14:useLocalDpi xmlns:a14="http://schemas.microsoft.com/office/drawing/2010/main" val="0"/>
                        </a:ext>
                      </a:extLst>
                    </a:blip>
                    <a:stretch>
                      <a:fillRect/>
                    </a:stretch>
                  </pic:blipFill>
                  <pic:spPr>
                    <a:xfrm>
                      <a:off x="0" y="0"/>
                      <a:ext cx="2164715" cy="1000125"/>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mc:AlternateContent>
          <mc:Choice Requires="wps">
            <w:drawing>
              <wp:anchor distT="0" distB="0" distL="114300" distR="114300" simplePos="0" relativeHeight="251666432" behindDoc="0" locked="0" layoutInCell="1" allowOverlap="1" wp14:anchorId="7FBF5E03" wp14:editId="6B868F19">
                <wp:simplePos x="0" y="0"/>
                <wp:positionH relativeFrom="column">
                  <wp:posOffset>2543175</wp:posOffset>
                </wp:positionH>
                <wp:positionV relativeFrom="paragraph">
                  <wp:posOffset>-419100</wp:posOffset>
                </wp:positionV>
                <wp:extent cx="1552575" cy="1647825"/>
                <wp:effectExtent l="19050" t="0" r="47625" b="28575"/>
                <wp:wrapNone/>
                <wp:docPr id="10" name="Chevron 10"/>
                <wp:cNvGraphicFramePr/>
                <a:graphic xmlns:a="http://schemas.openxmlformats.org/drawingml/2006/main">
                  <a:graphicData uri="http://schemas.microsoft.com/office/word/2010/wordprocessingShape">
                    <wps:wsp>
                      <wps:cNvSpPr/>
                      <wps:spPr>
                        <a:xfrm>
                          <a:off x="0" y="0"/>
                          <a:ext cx="1552575" cy="1647825"/>
                        </a:xfrm>
                        <a:prstGeom prst="chevron">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6789ACF"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Chevron 10" o:spid="_x0000_s1026" type="#_x0000_t55" style="position:absolute;margin-left:200.25pt;margin-top:-33pt;width:122.25pt;height:129.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" adj="10800" fillcolor="#1f4d78 [1604]" strokecolor="#1f4d78 [1604]" strokeweight="1pt"/>
            </w:pict>
          </mc:Fallback>
        </mc:AlternateContent>
      </w:r>
      <w:r>
        <w:rPr>
          <w:noProof/>
          <w:sz w:val="24"/>
          <w:szCs w:val="24"/>
        </w:rPr>
        <mc:AlternateContent>
          <mc:Choice Requires="wps">
            <w:drawing>
              <wp:anchor distT="0" distB="0" distL="114300" distR="114300" simplePos="0" relativeHeight="251665408" behindDoc="0" locked="0" layoutInCell="1" allowOverlap="1" wp14:anchorId="242CB595" wp14:editId="623EE693">
                <wp:simplePos x="0" y="0"/>
                <wp:positionH relativeFrom="column">
                  <wp:posOffset>-876300</wp:posOffset>
                </wp:positionH>
                <wp:positionV relativeFrom="paragraph">
                  <wp:posOffset>-428625</wp:posOffset>
                </wp:positionV>
                <wp:extent cx="3924300" cy="1647825"/>
                <wp:effectExtent l="0" t="0" r="38100" b="28575"/>
                <wp:wrapNone/>
                <wp:docPr id="9" name="Pentagon 9"/>
                <wp:cNvGraphicFramePr/>
                <a:graphic xmlns:a="http://schemas.openxmlformats.org/drawingml/2006/main">
                  <a:graphicData uri="http://schemas.microsoft.com/office/word/2010/wordprocessingShape">
                    <wps:wsp>
                      <wps:cNvSpPr/>
                      <wps:spPr>
                        <a:xfrm>
                          <a:off x="0" y="0"/>
                          <a:ext cx="3924300" cy="1647825"/>
                        </a:xfrm>
                        <a:prstGeom prst="homePlate">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1E8FBD" w14:textId="77777777" w:rsidR="00D34058" w:rsidRPr="00A66F2A" w:rsidRDefault="00D34058" w:rsidP="001F5CBD">
                            <w:pPr>
                              <w:ind w:right="480" w:firstLine="720"/>
                              <w:rPr>
                                <w:b/>
                                <w:sz w:val="26"/>
                                <w:szCs w:val="26"/>
                              </w:rPr>
                            </w:pPr>
                            <w:r w:rsidRPr="00A66F2A">
                              <w:rPr>
                                <w:b/>
                                <w:sz w:val="26"/>
                                <w:szCs w:val="26"/>
                              </w:rPr>
                              <w:t>For Immediate Release</w:t>
                            </w:r>
                          </w:p>
                          <w:p w14:paraId="5C7CF5D6" w14:textId="77777777" w:rsidR="00D34058" w:rsidRPr="00A66F2A" w:rsidRDefault="00D34058" w:rsidP="001F5CBD">
                            <w:pPr>
                              <w:ind w:right="480" w:firstLine="720"/>
                              <w:rPr>
                                <w:sz w:val="26"/>
                                <w:szCs w:val="26"/>
                              </w:rPr>
                            </w:pPr>
                            <w:r w:rsidRPr="00A66F2A">
                              <w:rPr>
                                <w:sz w:val="26"/>
                                <w:szCs w:val="26"/>
                              </w:rPr>
                              <w:t>Contact:  Mike Ruzicka</w:t>
                            </w:r>
                          </w:p>
                          <w:p w14:paraId="40F00B14" w14:textId="77777777" w:rsidR="00D34058" w:rsidRPr="00A66F2A" w:rsidRDefault="00D34058" w:rsidP="001F5CBD">
                            <w:pPr>
                              <w:ind w:right="480" w:firstLine="720"/>
                              <w:rPr>
                                <w:sz w:val="26"/>
                                <w:szCs w:val="26"/>
                              </w:rPr>
                            </w:pPr>
                            <w:r w:rsidRPr="00A66F2A">
                              <w:rPr>
                                <w:sz w:val="26"/>
                                <w:szCs w:val="26"/>
                              </w:rPr>
                              <w:t>414.778.4929 or 414.870.1876</w:t>
                            </w:r>
                          </w:p>
                          <w:p w14:paraId="53E5CD2A" w14:textId="09B004E0" w:rsidR="00D34058" w:rsidRPr="001F5CBD" w:rsidRDefault="00407D21" w:rsidP="001F5CBD">
                            <w:pPr>
                              <w:ind w:firstLine="720"/>
                              <w:rPr>
                                <w:color w:val="FFFFFF" w:themeColor="background1"/>
                              </w:rPr>
                            </w:pPr>
                            <w:hyperlink r:id="rId6" w:history="1">
                              <w:r w:rsidR="00D34058" w:rsidRPr="00C73E89">
                                <w:rPr>
                                  <w:rStyle w:val="Hyperlink"/>
                                  <w:sz w:val="26"/>
                                  <w:szCs w:val="26"/>
                                </w:rPr>
                                <w:t>mike@gmar.</w:t>
                              </w:r>
                            </w:hyperlink>
                            <w:r w:rsidR="00D34058">
                              <w:rPr>
                                <w:rStyle w:val="Hyperlink"/>
                                <w:color w:val="FFFFFF" w:themeColor="background1"/>
                                <w:sz w:val="26"/>
                                <w:szCs w:val="26"/>
                              </w:rPr>
                              <w:t>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2CB595"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9" o:spid="_x0000_s1026" type="#_x0000_t15" style="position:absolute;left:0;text-align:left;margin-left:-69pt;margin-top:-33.75pt;width:309pt;height:129.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" adj="17065" fillcolor="#1f4d78 [1604]" strokecolor="#1f4d78 [1604]" strokeweight="1pt">
                <v:textbox>
                  <w:txbxContent>
                    <w:p w14:paraId="111E8FBD" w14:textId="77777777" w:rsidR="00D34058" w:rsidRPr="00A66F2A" w:rsidRDefault="00D34058" w:rsidP="001F5CBD">
                      <w:pPr>
                        <w:ind w:right="480" w:firstLine="720"/>
                        <w:rPr>
                          <w:b/>
                          <w:sz w:val="26"/>
                          <w:szCs w:val="26"/>
                        </w:rPr>
                      </w:pPr>
                      <w:r w:rsidRPr="00A66F2A">
                        <w:rPr>
                          <w:b/>
                          <w:sz w:val="26"/>
                          <w:szCs w:val="26"/>
                        </w:rPr>
                        <w:t>For Immediate Release</w:t>
                      </w:r>
                    </w:p>
                    <w:p w14:paraId="5C7CF5D6" w14:textId="77777777" w:rsidR="00D34058" w:rsidRPr="00A66F2A" w:rsidRDefault="00D34058" w:rsidP="001F5CBD">
                      <w:pPr>
                        <w:ind w:right="480" w:firstLine="720"/>
                        <w:rPr>
                          <w:sz w:val="26"/>
                          <w:szCs w:val="26"/>
                        </w:rPr>
                      </w:pPr>
                      <w:r w:rsidRPr="00A66F2A">
                        <w:rPr>
                          <w:sz w:val="26"/>
                          <w:szCs w:val="26"/>
                        </w:rPr>
                        <w:t>Contact:  Mike Ruzicka</w:t>
                      </w:r>
                    </w:p>
                    <w:p w14:paraId="40F00B14" w14:textId="77777777" w:rsidR="00D34058" w:rsidRPr="00A66F2A" w:rsidRDefault="00D34058" w:rsidP="001F5CBD">
                      <w:pPr>
                        <w:ind w:right="480" w:firstLine="720"/>
                        <w:rPr>
                          <w:sz w:val="26"/>
                          <w:szCs w:val="26"/>
                        </w:rPr>
                      </w:pPr>
                      <w:r w:rsidRPr="00A66F2A">
                        <w:rPr>
                          <w:sz w:val="26"/>
                          <w:szCs w:val="26"/>
                        </w:rPr>
                        <w:t>414.778.4929 or 414.870.1876</w:t>
                      </w:r>
                    </w:p>
                    <w:p w14:paraId="53E5CD2A" w14:textId="09B004E0" w:rsidR="00D34058" w:rsidRPr="001F5CBD" w:rsidRDefault="00407D21" w:rsidP="001F5CBD">
                      <w:pPr>
                        <w:ind w:firstLine="720"/>
                        <w:rPr>
                          <w:color w:val="FFFFFF" w:themeColor="background1"/>
                        </w:rPr>
                      </w:pPr>
                      <w:hyperlink r:id="rId7" w:history="1">
                        <w:r w:rsidR="00D34058" w:rsidRPr="00C73E89">
                          <w:rPr>
                            <w:rStyle w:val="Hyperlink"/>
                            <w:sz w:val="26"/>
                            <w:szCs w:val="26"/>
                          </w:rPr>
                          <w:t>mike@gmar.</w:t>
                        </w:r>
                      </w:hyperlink>
                      <w:r w:rsidR="00D34058">
                        <w:rPr>
                          <w:rStyle w:val="Hyperlink"/>
                          <w:color w:val="FFFFFF" w:themeColor="background1"/>
                          <w:sz w:val="26"/>
                          <w:szCs w:val="26"/>
                        </w:rPr>
                        <w:t>com</w:t>
                      </w:r>
                    </w:p>
                  </w:txbxContent>
                </v:textbox>
              </v:shape>
            </w:pict>
          </mc:Fallback>
        </mc:AlternateContent>
      </w:r>
      <w:r w:rsidR="00127EF0">
        <w:rPr>
          <w:sz w:val="24"/>
          <w:szCs w:val="24"/>
        </w:rPr>
        <w:t xml:space="preserve"> </w:t>
      </w:r>
    </w:p>
    <w:p w14:paraId="33E945B2" w14:textId="38582120" w:rsidR="00127EF0" w:rsidRDefault="00127EF0" w:rsidP="00127EF0">
      <w:pPr>
        <w:rPr>
          <w:sz w:val="24"/>
          <w:szCs w:val="24"/>
        </w:rPr>
      </w:pPr>
    </w:p>
    <w:p w14:paraId="17239243" w14:textId="142ECE24" w:rsidR="00127EF0" w:rsidRDefault="00127EF0" w:rsidP="00127EF0">
      <w:pPr>
        <w:rPr>
          <w:sz w:val="24"/>
          <w:szCs w:val="24"/>
        </w:rPr>
      </w:pPr>
    </w:p>
    <w:p w14:paraId="4AAECA96" w14:textId="58D207FE" w:rsidR="00127EF0" w:rsidRDefault="00127EF0" w:rsidP="00127EF0">
      <w:pPr>
        <w:jc w:val="center"/>
        <w:rPr>
          <w:rFonts w:eastAsia="Times New Roman"/>
          <w:b/>
          <w:bCs/>
          <w:sz w:val="24"/>
          <w:szCs w:val="24"/>
        </w:rPr>
      </w:pPr>
    </w:p>
    <w:p w14:paraId="2E9EC9D0" w14:textId="56564CD4" w:rsidR="001F5CBD" w:rsidRDefault="001F5CBD" w:rsidP="00127EF0">
      <w:pPr>
        <w:spacing w:before="120" w:after="120"/>
        <w:ind w:left="-360" w:right="-360"/>
        <w:contextualSpacing/>
        <w:jc w:val="center"/>
        <w:rPr>
          <w:rFonts w:ascii="Arial Narrow" w:hAnsi="Arial Narrow"/>
          <w:b/>
          <w:bCs/>
          <w:sz w:val="56"/>
          <w:szCs w:val="56"/>
        </w:rPr>
      </w:pPr>
    </w:p>
    <w:p w14:paraId="1CB10AEE" w14:textId="7778E465" w:rsidR="001F5CBD" w:rsidRDefault="001F5CBD" w:rsidP="001F5CBD">
      <w:pPr>
        <w:spacing w:before="120" w:after="120"/>
        <w:ind w:left="-360" w:right="-360"/>
        <w:contextualSpacing/>
        <w:jc w:val="center"/>
        <w:rPr>
          <w:rFonts w:ascii="Arial Narrow" w:hAnsi="Arial Narrow"/>
          <w:b/>
          <w:bCs/>
          <w:sz w:val="56"/>
          <w:szCs w:val="56"/>
        </w:rPr>
      </w:pPr>
    </w:p>
    <w:p w14:paraId="1A804A49" w14:textId="73CFE94C" w:rsidR="00681DC8" w:rsidRPr="00A35390" w:rsidRDefault="008C6F6A" w:rsidP="00681DC8">
      <w:pPr>
        <w:spacing w:before="120" w:after="120"/>
        <w:ind w:left="-360" w:right="-360"/>
        <w:contextualSpacing/>
        <w:jc w:val="center"/>
        <w:rPr>
          <w:rFonts w:ascii="Arial" w:hAnsi="Arial" w:cs="Arial"/>
          <w:b/>
          <w:bCs/>
          <w:sz w:val="64"/>
          <w:szCs w:val="64"/>
        </w:rPr>
      </w:pPr>
      <w:r>
        <w:rPr>
          <w:rFonts w:ascii="Arial" w:hAnsi="Arial" w:cs="Arial"/>
          <w:b/>
          <w:bCs/>
          <w:sz w:val="64"/>
          <w:szCs w:val="64"/>
        </w:rPr>
        <w:t>Sept</w:t>
      </w:r>
      <w:r w:rsidR="009A6291">
        <w:rPr>
          <w:rFonts w:ascii="Arial" w:hAnsi="Arial" w:cs="Arial"/>
          <w:b/>
          <w:bCs/>
          <w:sz w:val="64"/>
          <w:szCs w:val="64"/>
        </w:rPr>
        <w:t>.</w:t>
      </w:r>
      <w:r w:rsidR="00681DC8" w:rsidRPr="00A35390">
        <w:rPr>
          <w:rFonts w:ascii="Arial" w:hAnsi="Arial" w:cs="Arial"/>
          <w:b/>
          <w:bCs/>
          <w:sz w:val="64"/>
          <w:szCs w:val="64"/>
        </w:rPr>
        <w:t xml:space="preserve"> Home Sales </w:t>
      </w:r>
      <w:r>
        <w:rPr>
          <w:rFonts w:ascii="Arial" w:hAnsi="Arial" w:cs="Arial"/>
          <w:b/>
          <w:bCs/>
          <w:sz w:val="64"/>
          <w:szCs w:val="64"/>
        </w:rPr>
        <w:t>Up</w:t>
      </w:r>
      <w:r w:rsidR="00681DC8" w:rsidRPr="00A35390">
        <w:rPr>
          <w:rFonts w:ascii="Arial" w:hAnsi="Arial" w:cs="Arial"/>
          <w:b/>
          <w:bCs/>
          <w:sz w:val="64"/>
          <w:szCs w:val="64"/>
        </w:rPr>
        <w:t xml:space="preserve"> </w:t>
      </w:r>
      <w:r w:rsidR="009A6291">
        <w:rPr>
          <w:rFonts w:ascii="Arial" w:hAnsi="Arial" w:cs="Arial"/>
          <w:b/>
          <w:bCs/>
          <w:sz w:val="64"/>
          <w:szCs w:val="64"/>
        </w:rPr>
        <w:t>28.2</w:t>
      </w:r>
      <w:r w:rsidR="00681DC8" w:rsidRPr="00A35390">
        <w:rPr>
          <w:rFonts w:ascii="Arial" w:hAnsi="Arial" w:cs="Arial"/>
          <w:b/>
          <w:bCs/>
          <w:sz w:val="64"/>
          <w:szCs w:val="64"/>
        </w:rPr>
        <w:t>%</w:t>
      </w:r>
    </w:p>
    <w:p w14:paraId="4EFD022F" w14:textId="5F7EB290" w:rsidR="00127EF0" w:rsidRPr="00A35390" w:rsidRDefault="009A6291" w:rsidP="00681DC8">
      <w:pPr>
        <w:spacing w:before="120" w:after="120"/>
        <w:ind w:left="-360" w:right="-360"/>
        <w:contextualSpacing/>
        <w:jc w:val="center"/>
        <w:rPr>
          <w:rFonts w:ascii="Arial" w:hAnsi="Arial" w:cs="Arial"/>
          <w:b/>
          <w:bCs/>
          <w:sz w:val="64"/>
          <w:szCs w:val="64"/>
        </w:rPr>
      </w:pPr>
      <w:r>
        <w:rPr>
          <w:rFonts w:ascii="Arial" w:hAnsi="Arial" w:cs="Arial"/>
          <w:b/>
          <w:bCs/>
          <w:sz w:val="64"/>
          <w:szCs w:val="64"/>
        </w:rPr>
        <w:t>Up 0.</w:t>
      </w:r>
      <w:r w:rsidR="00C105B5">
        <w:rPr>
          <w:rFonts w:ascii="Arial" w:hAnsi="Arial" w:cs="Arial"/>
          <w:b/>
          <w:bCs/>
          <w:sz w:val="64"/>
          <w:szCs w:val="64"/>
        </w:rPr>
        <w:t>3</w:t>
      </w:r>
      <w:r>
        <w:rPr>
          <w:rFonts w:ascii="Arial" w:hAnsi="Arial" w:cs="Arial"/>
          <w:b/>
          <w:bCs/>
          <w:sz w:val="64"/>
          <w:szCs w:val="64"/>
        </w:rPr>
        <w:t xml:space="preserve">% </w:t>
      </w:r>
      <w:r w:rsidR="008C6F6A">
        <w:rPr>
          <w:rFonts w:ascii="Arial" w:hAnsi="Arial" w:cs="Arial"/>
          <w:b/>
          <w:bCs/>
          <w:sz w:val="64"/>
          <w:szCs w:val="64"/>
        </w:rPr>
        <w:t>Through 3</w:t>
      </w:r>
      <w:r w:rsidR="008C6F6A" w:rsidRPr="008C6F6A">
        <w:rPr>
          <w:rFonts w:ascii="Arial" w:hAnsi="Arial" w:cs="Arial"/>
          <w:b/>
          <w:bCs/>
          <w:sz w:val="64"/>
          <w:szCs w:val="64"/>
          <w:vertAlign w:val="superscript"/>
        </w:rPr>
        <w:t>rd</w:t>
      </w:r>
      <w:r w:rsidR="008C6F6A">
        <w:rPr>
          <w:rFonts w:ascii="Arial" w:hAnsi="Arial" w:cs="Arial"/>
          <w:b/>
          <w:bCs/>
          <w:sz w:val="64"/>
          <w:szCs w:val="64"/>
        </w:rPr>
        <w:t xml:space="preserve"> </w:t>
      </w:r>
      <w:r w:rsidR="006D6799" w:rsidRPr="00A35390">
        <w:rPr>
          <w:rFonts w:ascii="Arial" w:hAnsi="Arial" w:cs="Arial"/>
          <w:b/>
          <w:bCs/>
          <w:sz w:val="64"/>
          <w:szCs w:val="64"/>
        </w:rPr>
        <w:t>Qtr.</w:t>
      </w:r>
    </w:p>
    <w:p w14:paraId="33BE1908" w14:textId="4074191F" w:rsidR="00127EF0" w:rsidRPr="00E302C4" w:rsidRDefault="00127EF0" w:rsidP="00E302C4">
      <w:pPr>
        <w:ind w:left="-360" w:right="-360"/>
        <w:jc w:val="center"/>
        <w:rPr>
          <w:rFonts w:eastAsia="Times New Roman"/>
          <w:b/>
          <w:bCs/>
          <w:sz w:val="24"/>
          <w:szCs w:val="24"/>
        </w:rPr>
      </w:pPr>
    </w:p>
    <w:tbl>
      <w:tblPr>
        <w:tblStyle w:val="TableGrid"/>
        <w:tblpPr w:leftFromText="180" w:rightFromText="180" w:vertAnchor="text" w:horzAnchor="margin" w:tblpX="-360" w:tblpY="7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Look w:val="04A0" w:firstRow="1" w:lastRow="0" w:firstColumn="1" w:lastColumn="0" w:noHBand="0" w:noVBand="1"/>
      </w:tblPr>
      <w:tblGrid>
        <w:gridCol w:w="5081"/>
      </w:tblGrid>
      <w:tr w:rsidR="00E302C4" w14:paraId="24B40EB5" w14:textId="77777777" w:rsidTr="00A139C9">
        <w:trPr>
          <w:trHeight w:val="477"/>
        </w:trPr>
        <w:tc>
          <w:tcPr>
            <w:tcW w:w="5081" w:type="dxa"/>
            <w:vAlign w:val="center"/>
          </w:tcPr>
          <w:p w14:paraId="1ED3215F" w14:textId="77777777" w:rsidR="00E302C4" w:rsidRPr="00656C73" w:rsidRDefault="00E302C4" w:rsidP="00E302C4">
            <w:pPr>
              <w:spacing w:before="120" w:after="120"/>
              <w:ind w:left="-115" w:right="-360"/>
              <w:contextualSpacing/>
              <w:rPr>
                <w:rFonts w:cstheme="minorHAnsi"/>
                <w:sz w:val="24"/>
                <w:szCs w:val="24"/>
              </w:rPr>
            </w:pPr>
            <w:r w:rsidRPr="00656C73">
              <w:rPr>
                <w:rFonts w:cstheme="minorHAnsi"/>
                <w:b/>
                <w:bCs/>
                <w:sz w:val="24"/>
                <w:szCs w:val="24"/>
              </w:rPr>
              <w:t>Market Highlights</w:t>
            </w:r>
          </w:p>
        </w:tc>
      </w:tr>
      <w:tr w:rsidR="00E302C4" w14:paraId="16998B52" w14:textId="77777777" w:rsidTr="00656C73">
        <w:trPr>
          <w:trHeight w:hRule="exact" w:val="386"/>
        </w:trPr>
        <w:tc>
          <w:tcPr>
            <w:tcW w:w="5081" w:type="dxa"/>
            <w:shd w:val="clear" w:color="auto" w:fill="auto"/>
            <w:vAlign w:val="center"/>
          </w:tcPr>
          <w:p w14:paraId="2AA4FD63" w14:textId="459E28D3" w:rsidR="00E302C4" w:rsidRPr="00577F84" w:rsidRDefault="009A6291" w:rsidP="00DE613A">
            <w:pPr>
              <w:pStyle w:val="ListParagraph"/>
              <w:numPr>
                <w:ilvl w:val="0"/>
                <w:numId w:val="3"/>
              </w:numPr>
              <w:ind w:left="245" w:right="-360" w:hanging="245"/>
              <w:rPr>
                <w:sz w:val="24"/>
                <w:szCs w:val="24"/>
              </w:rPr>
            </w:pPr>
            <w:r>
              <w:rPr>
                <w:sz w:val="24"/>
                <w:szCs w:val="24"/>
              </w:rPr>
              <w:t>Market Made Up For Lost Time</w:t>
            </w:r>
            <w:r w:rsidR="00656C73">
              <w:rPr>
                <w:sz w:val="24"/>
                <w:szCs w:val="24"/>
              </w:rPr>
              <w:t xml:space="preserve"> In September</w:t>
            </w:r>
          </w:p>
        </w:tc>
      </w:tr>
      <w:tr w:rsidR="00E302C4" w14:paraId="786D284B" w14:textId="77777777" w:rsidTr="00656C73">
        <w:trPr>
          <w:trHeight w:hRule="exact" w:val="386"/>
        </w:trPr>
        <w:tc>
          <w:tcPr>
            <w:tcW w:w="5081" w:type="dxa"/>
            <w:shd w:val="clear" w:color="auto" w:fill="auto"/>
            <w:vAlign w:val="center"/>
          </w:tcPr>
          <w:p w14:paraId="1B827FCA" w14:textId="1A30E25E" w:rsidR="00E302C4" w:rsidRPr="00577F84" w:rsidRDefault="00946D4A" w:rsidP="00DE613A">
            <w:pPr>
              <w:pStyle w:val="ListParagraph"/>
              <w:numPr>
                <w:ilvl w:val="0"/>
                <w:numId w:val="3"/>
              </w:numPr>
              <w:ind w:left="245" w:right="-360" w:hanging="245"/>
              <w:rPr>
                <w:sz w:val="24"/>
                <w:szCs w:val="24"/>
              </w:rPr>
            </w:pPr>
            <w:r>
              <w:rPr>
                <w:sz w:val="24"/>
                <w:szCs w:val="24"/>
              </w:rPr>
              <w:t>Prices Were Strong Throughout SE Wisconsin</w:t>
            </w:r>
          </w:p>
        </w:tc>
      </w:tr>
      <w:tr w:rsidR="00E302C4" w14:paraId="07DD8276" w14:textId="77777777" w:rsidTr="00656C73">
        <w:trPr>
          <w:trHeight w:hRule="exact" w:val="386"/>
        </w:trPr>
        <w:tc>
          <w:tcPr>
            <w:tcW w:w="5081" w:type="dxa"/>
            <w:shd w:val="clear" w:color="auto" w:fill="auto"/>
            <w:vAlign w:val="center"/>
          </w:tcPr>
          <w:p w14:paraId="0EAFC321" w14:textId="7B4CF2ED" w:rsidR="00E302C4" w:rsidRDefault="00D7710D" w:rsidP="00DE613A">
            <w:pPr>
              <w:pStyle w:val="ListParagraph"/>
              <w:numPr>
                <w:ilvl w:val="0"/>
                <w:numId w:val="3"/>
              </w:numPr>
              <w:ind w:left="245" w:right="-360" w:hanging="245"/>
              <w:rPr>
                <w:sz w:val="24"/>
                <w:szCs w:val="24"/>
              </w:rPr>
            </w:pPr>
            <w:r>
              <w:rPr>
                <w:sz w:val="24"/>
                <w:szCs w:val="24"/>
              </w:rPr>
              <w:t>Listing</w:t>
            </w:r>
            <w:r w:rsidR="004C7E31">
              <w:rPr>
                <w:sz w:val="24"/>
                <w:szCs w:val="24"/>
              </w:rPr>
              <w:t>s</w:t>
            </w:r>
            <w:r w:rsidR="00314345" w:rsidRPr="008E494E">
              <w:rPr>
                <w:sz w:val="24"/>
                <w:szCs w:val="24"/>
              </w:rPr>
              <w:t xml:space="preserve"> </w:t>
            </w:r>
            <w:r w:rsidR="00946D4A">
              <w:rPr>
                <w:sz w:val="24"/>
                <w:szCs w:val="24"/>
              </w:rPr>
              <w:t>Continue To Be Anemic</w:t>
            </w:r>
          </w:p>
        </w:tc>
      </w:tr>
    </w:tbl>
    <w:p w14:paraId="57E2A88E" w14:textId="0B4DA5C9" w:rsidR="00577F84" w:rsidRDefault="00577F84" w:rsidP="001F5CBD">
      <w:pPr>
        <w:spacing w:before="120" w:after="120"/>
        <w:ind w:left="-360" w:right="-360"/>
        <w:contextualSpacing/>
        <w:rPr>
          <w:b/>
          <w:bCs/>
          <w:sz w:val="24"/>
          <w:szCs w:val="24"/>
        </w:rPr>
      </w:pPr>
    </w:p>
    <w:p w14:paraId="2D693890" w14:textId="77777777" w:rsidR="00577F84" w:rsidRDefault="00577F84" w:rsidP="001F5CBD">
      <w:pPr>
        <w:spacing w:before="120" w:after="120"/>
        <w:ind w:left="-360" w:right="-360"/>
        <w:contextualSpacing/>
        <w:rPr>
          <w:b/>
          <w:bCs/>
          <w:sz w:val="24"/>
          <w:szCs w:val="24"/>
        </w:rPr>
      </w:pPr>
    </w:p>
    <w:p w14:paraId="38ABB225" w14:textId="49E6DA9E" w:rsidR="00577F84" w:rsidRDefault="00577F84" w:rsidP="001F5CBD">
      <w:pPr>
        <w:spacing w:before="120" w:after="120"/>
        <w:ind w:left="-360" w:right="-360"/>
        <w:contextualSpacing/>
        <w:rPr>
          <w:b/>
          <w:bCs/>
          <w:sz w:val="24"/>
          <w:szCs w:val="24"/>
        </w:rPr>
      </w:pPr>
    </w:p>
    <w:p w14:paraId="2DDE1A5F" w14:textId="057F487C" w:rsidR="00577F84" w:rsidRDefault="00577F84" w:rsidP="001F5CBD">
      <w:pPr>
        <w:spacing w:before="120" w:after="120"/>
        <w:ind w:left="-360" w:right="-360"/>
        <w:contextualSpacing/>
        <w:rPr>
          <w:b/>
          <w:bCs/>
          <w:sz w:val="24"/>
          <w:szCs w:val="24"/>
        </w:rPr>
      </w:pPr>
    </w:p>
    <w:p w14:paraId="3CA67BB0" w14:textId="35281FFA" w:rsidR="00577F84" w:rsidRDefault="00577F84" w:rsidP="001F5CBD">
      <w:pPr>
        <w:spacing w:before="120" w:after="120"/>
        <w:ind w:left="-360" w:right="-360"/>
        <w:contextualSpacing/>
        <w:rPr>
          <w:b/>
          <w:bCs/>
          <w:sz w:val="24"/>
          <w:szCs w:val="24"/>
        </w:rPr>
      </w:pPr>
    </w:p>
    <w:p w14:paraId="59E3EC39" w14:textId="29106778" w:rsidR="00E302C4" w:rsidRDefault="00E302C4" w:rsidP="001F5CBD">
      <w:pPr>
        <w:spacing w:before="120" w:after="120"/>
        <w:ind w:left="-360" w:right="-360"/>
        <w:contextualSpacing/>
        <w:rPr>
          <w:sz w:val="24"/>
          <w:szCs w:val="24"/>
        </w:rPr>
      </w:pPr>
    </w:p>
    <w:p w14:paraId="17EA2605" w14:textId="4ECEC9F6" w:rsidR="00E302C4" w:rsidRDefault="00E302C4" w:rsidP="001F5CBD">
      <w:pPr>
        <w:spacing w:before="120" w:after="120"/>
        <w:ind w:left="-360" w:right="-360"/>
        <w:contextualSpacing/>
        <w:rPr>
          <w:sz w:val="24"/>
          <w:szCs w:val="24"/>
        </w:rPr>
      </w:pPr>
    </w:p>
    <w:tbl>
      <w:tblPr>
        <w:tblpPr w:leftFromText="180" w:rightFromText="180" w:bottomFromText="115" w:vertAnchor="text" w:horzAnchor="margin" w:tblpX="-360" w:tblpY="658"/>
        <w:tblW w:w="4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56"/>
        <w:gridCol w:w="16"/>
        <w:gridCol w:w="919"/>
        <w:gridCol w:w="16"/>
        <w:gridCol w:w="813"/>
        <w:gridCol w:w="16"/>
        <w:gridCol w:w="1087"/>
        <w:gridCol w:w="15"/>
        <w:gridCol w:w="6"/>
      </w:tblGrid>
      <w:tr w:rsidR="00AE6343" w:rsidRPr="00162A57" w14:paraId="6D37A8D0" w14:textId="77777777" w:rsidTr="00A25A48">
        <w:trPr>
          <w:gridAfter w:val="1"/>
          <w:wAfter w:w="6" w:type="dxa"/>
          <w:trHeight w:val="432"/>
        </w:trPr>
        <w:tc>
          <w:tcPr>
            <w:tcW w:w="4338" w:type="dxa"/>
            <w:gridSpan w:val="8"/>
            <w:tcBorders>
              <w:top w:val="nil"/>
              <w:left w:val="nil"/>
              <w:bottom w:val="nil"/>
              <w:right w:val="nil"/>
            </w:tcBorders>
            <w:shd w:val="clear" w:color="auto" w:fill="auto"/>
            <w:tcMar>
              <w:top w:w="0" w:type="dxa"/>
              <w:left w:w="108" w:type="dxa"/>
              <w:bottom w:w="0" w:type="dxa"/>
              <w:right w:w="108" w:type="dxa"/>
            </w:tcMar>
            <w:vAlign w:val="center"/>
            <w:hideMark/>
          </w:tcPr>
          <w:p w14:paraId="0CC14318" w14:textId="21451D32" w:rsidR="00AE6343" w:rsidRPr="00162A57" w:rsidRDefault="00FB5F93" w:rsidP="001A5F8A">
            <w:pPr>
              <w:spacing w:line="252" w:lineRule="auto"/>
              <w:ind w:left="-108" w:right="85"/>
              <w:rPr>
                <w:rFonts w:cstheme="minorHAnsi"/>
                <w:b/>
              </w:rPr>
            </w:pPr>
            <w:r w:rsidRPr="00162A57">
              <w:rPr>
                <w:rFonts w:cstheme="minorHAnsi"/>
                <w:b/>
              </w:rPr>
              <w:t>September</w:t>
            </w:r>
            <w:r w:rsidR="00AE6343" w:rsidRPr="00162A57">
              <w:rPr>
                <w:rFonts w:cstheme="minorHAnsi"/>
                <w:b/>
              </w:rPr>
              <w:t xml:space="preserve"> Sales</w:t>
            </w:r>
          </w:p>
        </w:tc>
      </w:tr>
      <w:tr w:rsidR="00AE6343" w:rsidRPr="00162A57" w14:paraId="2CF4AC7B" w14:textId="77777777" w:rsidTr="00A25A48">
        <w:trPr>
          <w:gridAfter w:val="2"/>
          <w:wAfter w:w="22" w:type="dxa"/>
          <w:trHeight w:val="288"/>
        </w:trPr>
        <w:tc>
          <w:tcPr>
            <w:tcW w:w="1440" w:type="dxa"/>
            <w:tcBorders>
              <w:top w:val="nil"/>
              <w:left w:val="nil"/>
              <w:bottom w:val="nil"/>
              <w:right w:val="single" w:sz="12" w:space="0" w:color="FFFFFF"/>
            </w:tcBorders>
            <w:shd w:val="clear" w:color="auto" w:fill="1F4E79" w:themeFill="accent1" w:themeFillShade="80"/>
            <w:vAlign w:val="center"/>
            <w:hideMark/>
          </w:tcPr>
          <w:p w14:paraId="0B541D24" w14:textId="77777777" w:rsidR="00AE6343" w:rsidRPr="00162A57" w:rsidRDefault="00AE6343" w:rsidP="001A5F8A">
            <w:pPr>
              <w:ind w:left="175" w:right="100"/>
              <w:rPr>
                <w:rFonts w:cstheme="minorHAnsi"/>
                <w:b/>
                <w:color w:val="FFFFFF" w:themeColor="background1"/>
              </w:rPr>
            </w:pPr>
            <w:r w:rsidRPr="00162A57">
              <w:rPr>
                <w:rFonts w:cstheme="minorHAnsi"/>
                <w:b/>
                <w:color w:val="FFFFFF" w:themeColor="background1"/>
              </w:rPr>
              <w:t>County</w:t>
            </w:r>
          </w:p>
        </w:tc>
        <w:tc>
          <w:tcPr>
            <w:tcW w:w="935"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34EE9F02" w14:textId="5252103B" w:rsidR="00AE6343" w:rsidRPr="00162A57" w:rsidRDefault="00AE6343" w:rsidP="001A5F8A">
            <w:pPr>
              <w:spacing w:line="207" w:lineRule="atLeast"/>
              <w:ind w:left="44" w:right="62"/>
              <w:rPr>
                <w:rFonts w:cstheme="minorHAnsi"/>
                <w:color w:val="FFFFFF" w:themeColor="background1"/>
              </w:rPr>
            </w:pPr>
            <w:r w:rsidRPr="00162A57">
              <w:rPr>
                <w:rFonts w:cstheme="minorHAnsi"/>
                <w:color w:val="FFFFFF" w:themeColor="background1"/>
              </w:rPr>
              <w:t>201</w:t>
            </w:r>
            <w:r w:rsidR="00010A1A" w:rsidRPr="00162A57">
              <w:rPr>
                <w:rFonts w:cstheme="minorHAnsi"/>
                <w:color w:val="FFFFFF" w:themeColor="background1"/>
              </w:rPr>
              <w:t>9</w:t>
            </w:r>
          </w:p>
        </w:tc>
        <w:tc>
          <w:tcPr>
            <w:tcW w:w="829" w:type="dxa"/>
            <w:gridSpan w:val="2"/>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4156DAA8" w14:textId="0870BAEE" w:rsidR="00AE6343" w:rsidRPr="00162A57" w:rsidRDefault="00AE6343" w:rsidP="001A5F8A">
            <w:pPr>
              <w:spacing w:line="207" w:lineRule="atLeast"/>
              <w:ind w:right="-23"/>
              <w:rPr>
                <w:rFonts w:cstheme="minorHAnsi"/>
                <w:color w:val="FFFFFF" w:themeColor="background1"/>
              </w:rPr>
            </w:pPr>
            <w:r w:rsidRPr="00162A57">
              <w:rPr>
                <w:rFonts w:cstheme="minorHAnsi"/>
                <w:color w:val="FFFFFF" w:themeColor="background1"/>
              </w:rPr>
              <w:t>20</w:t>
            </w:r>
            <w:r w:rsidR="00010A1A" w:rsidRPr="00162A57">
              <w:rPr>
                <w:rFonts w:cstheme="minorHAnsi"/>
                <w:color w:val="FFFFFF" w:themeColor="background1"/>
              </w:rPr>
              <w:t>20</w:t>
            </w:r>
          </w:p>
        </w:tc>
        <w:tc>
          <w:tcPr>
            <w:tcW w:w="1118" w:type="dxa"/>
            <w:gridSpan w:val="2"/>
            <w:tcBorders>
              <w:top w:val="nil"/>
              <w:left w:val="single" w:sz="12" w:space="0" w:color="FFFFFF"/>
              <w:bottom w:val="nil"/>
              <w:right w:val="nil"/>
            </w:tcBorders>
            <w:shd w:val="clear" w:color="auto" w:fill="1F4E79" w:themeFill="accent1" w:themeFillShade="80"/>
          </w:tcPr>
          <w:p w14:paraId="3C0F2B16" w14:textId="77777777" w:rsidR="00AE6343" w:rsidRPr="00162A57" w:rsidRDefault="00AE6343" w:rsidP="001A5F8A">
            <w:pPr>
              <w:ind w:left="89" w:right="90"/>
              <w:rPr>
                <w:rFonts w:cstheme="minorHAnsi"/>
                <w:color w:val="FFFFFF" w:themeColor="background1"/>
              </w:rPr>
            </w:pPr>
            <w:r w:rsidRPr="00162A57">
              <w:rPr>
                <w:rFonts w:cstheme="minorHAnsi"/>
                <w:color w:val="FFFFFF" w:themeColor="background1"/>
              </w:rPr>
              <w:t>% Change</w:t>
            </w:r>
          </w:p>
        </w:tc>
      </w:tr>
      <w:tr w:rsidR="00FB5F93" w:rsidRPr="00162A57" w14:paraId="3075A9C1" w14:textId="77777777" w:rsidTr="00A25A48">
        <w:trPr>
          <w:gridAfter w:val="2"/>
          <w:wAfter w:w="22" w:type="dxa"/>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hideMark/>
          </w:tcPr>
          <w:p w14:paraId="4189BB15" w14:textId="77777777" w:rsidR="00FB5F93" w:rsidRPr="00162A57" w:rsidRDefault="00FB5F93" w:rsidP="00FB5F93">
            <w:pPr>
              <w:spacing w:line="252" w:lineRule="auto"/>
              <w:ind w:left="62" w:right="100"/>
              <w:rPr>
                <w:rFonts w:cstheme="minorHAnsi"/>
              </w:rPr>
            </w:pPr>
            <w:r w:rsidRPr="00162A57">
              <w:rPr>
                <w:rFonts w:cstheme="minorHAnsi"/>
              </w:rPr>
              <w:t>Milwaukee</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5BDAEAA5" w14:textId="497A88E6" w:rsidR="00FB5F93" w:rsidRPr="00162A57" w:rsidRDefault="00FB5F93" w:rsidP="00FB5F93">
            <w:pPr>
              <w:spacing w:line="252" w:lineRule="auto"/>
              <w:ind w:left="44" w:right="62"/>
              <w:rPr>
                <w:rFonts w:cstheme="minorHAnsi"/>
              </w:rPr>
            </w:pPr>
            <w:r w:rsidRPr="00162A57">
              <w:rPr>
                <w:rFonts w:cstheme="minorHAnsi"/>
              </w:rPr>
              <w:t>937</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7868A9DC" w14:textId="52B82115" w:rsidR="00FB5F93" w:rsidRPr="00162A57" w:rsidRDefault="00FB5F93" w:rsidP="00FB5F93">
            <w:pPr>
              <w:spacing w:line="252" w:lineRule="auto"/>
              <w:ind w:right="-23"/>
              <w:rPr>
                <w:rFonts w:cstheme="minorHAnsi"/>
              </w:rPr>
            </w:pPr>
            <w:r w:rsidRPr="00162A57">
              <w:rPr>
                <w:rFonts w:cstheme="minorHAnsi"/>
              </w:rPr>
              <w:t>1</w:t>
            </w:r>
            <w:r w:rsidR="00162A57" w:rsidRPr="00162A57">
              <w:rPr>
                <w:rFonts w:cstheme="minorHAnsi"/>
              </w:rPr>
              <w:t>,</w:t>
            </w:r>
            <w:r w:rsidRPr="00162A57">
              <w:rPr>
                <w:rFonts w:cstheme="minorHAnsi"/>
              </w:rPr>
              <w:t>283</w:t>
            </w:r>
          </w:p>
        </w:tc>
        <w:tc>
          <w:tcPr>
            <w:tcW w:w="1118" w:type="dxa"/>
            <w:gridSpan w:val="2"/>
            <w:tcBorders>
              <w:top w:val="nil"/>
              <w:left w:val="nil"/>
              <w:bottom w:val="nil"/>
              <w:right w:val="nil"/>
            </w:tcBorders>
            <w:shd w:val="clear" w:color="auto" w:fill="auto"/>
            <w:vAlign w:val="center"/>
          </w:tcPr>
          <w:p w14:paraId="624948AB" w14:textId="2970F131" w:rsidR="00FB5F93" w:rsidRPr="00162A57" w:rsidRDefault="00FB5F93" w:rsidP="00FB5F93">
            <w:pPr>
              <w:spacing w:line="252" w:lineRule="auto"/>
              <w:ind w:right="270"/>
              <w:jc w:val="right"/>
              <w:rPr>
                <w:rFonts w:cstheme="minorHAnsi"/>
              </w:rPr>
            </w:pPr>
            <w:r w:rsidRPr="00162A57">
              <w:rPr>
                <w:rFonts w:cstheme="minorHAnsi"/>
              </w:rPr>
              <w:t>36.9%</w:t>
            </w:r>
          </w:p>
        </w:tc>
      </w:tr>
      <w:tr w:rsidR="00FB5F93" w:rsidRPr="00162A57" w14:paraId="11F2BC05" w14:textId="77777777" w:rsidTr="00A25A48">
        <w:trPr>
          <w:gridAfter w:val="2"/>
          <w:wAfter w:w="22" w:type="dxa"/>
          <w:trHeight w:val="288"/>
        </w:trPr>
        <w:tc>
          <w:tcPr>
            <w:tcW w:w="1440"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2CFE1E97" w14:textId="77777777" w:rsidR="00FB5F93" w:rsidRPr="00162A57" w:rsidRDefault="00FB5F93" w:rsidP="00FB5F93">
            <w:pPr>
              <w:spacing w:line="252" w:lineRule="auto"/>
              <w:ind w:left="62" w:right="100"/>
              <w:rPr>
                <w:rFonts w:cstheme="minorHAnsi"/>
              </w:rPr>
            </w:pPr>
            <w:r w:rsidRPr="00162A57">
              <w:rPr>
                <w:rFonts w:cstheme="minorHAnsi"/>
              </w:rPr>
              <w:t>Waukesha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2BE859A7" w14:textId="525A842D" w:rsidR="00FB5F93" w:rsidRPr="00162A57" w:rsidRDefault="00FB5F93" w:rsidP="00FB5F93">
            <w:pPr>
              <w:spacing w:line="252" w:lineRule="auto"/>
              <w:ind w:left="44" w:right="62"/>
              <w:rPr>
                <w:rFonts w:cstheme="minorHAnsi"/>
              </w:rPr>
            </w:pPr>
            <w:r w:rsidRPr="00162A57">
              <w:rPr>
                <w:rFonts w:cstheme="minorHAnsi"/>
              </w:rPr>
              <w:t>528</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0BC42A7F" w14:textId="543EE87A" w:rsidR="00FB5F93" w:rsidRPr="00162A57" w:rsidRDefault="00FB5F93" w:rsidP="00FB5F93">
            <w:pPr>
              <w:spacing w:line="252" w:lineRule="auto"/>
              <w:ind w:right="-23"/>
              <w:rPr>
                <w:rFonts w:cstheme="minorHAnsi"/>
              </w:rPr>
            </w:pPr>
            <w:r w:rsidRPr="00162A57">
              <w:rPr>
                <w:rFonts w:cstheme="minorHAnsi"/>
              </w:rPr>
              <w:t>623</w:t>
            </w:r>
          </w:p>
        </w:tc>
        <w:tc>
          <w:tcPr>
            <w:tcW w:w="1118" w:type="dxa"/>
            <w:gridSpan w:val="2"/>
            <w:tcBorders>
              <w:top w:val="nil"/>
              <w:left w:val="nil"/>
              <w:bottom w:val="nil"/>
              <w:right w:val="nil"/>
            </w:tcBorders>
            <w:shd w:val="clear" w:color="auto" w:fill="DEEAF6" w:themeFill="accent1" w:themeFillTint="33"/>
            <w:vAlign w:val="center"/>
          </w:tcPr>
          <w:p w14:paraId="7F9F00E8" w14:textId="0CECF5CC" w:rsidR="00FB5F93" w:rsidRPr="00162A57" w:rsidRDefault="00FB5F93" w:rsidP="00FB5F93">
            <w:pPr>
              <w:spacing w:line="252" w:lineRule="auto"/>
              <w:ind w:right="270"/>
              <w:jc w:val="right"/>
              <w:rPr>
                <w:rFonts w:cstheme="minorHAnsi"/>
              </w:rPr>
            </w:pPr>
            <w:r w:rsidRPr="00162A57">
              <w:rPr>
                <w:rFonts w:cstheme="minorHAnsi"/>
              </w:rPr>
              <w:t>18.0%</w:t>
            </w:r>
          </w:p>
        </w:tc>
      </w:tr>
      <w:tr w:rsidR="00FB5F93" w:rsidRPr="00162A57" w14:paraId="63CFF1FB" w14:textId="77777777" w:rsidTr="00A25A48">
        <w:trPr>
          <w:gridAfter w:val="2"/>
          <w:wAfter w:w="22" w:type="dxa"/>
          <w:trHeight w:val="288"/>
        </w:trPr>
        <w:tc>
          <w:tcPr>
            <w:tcW w:w="1440" w:type="dxa"/>
            <w:tcBorders>
              <w:top w:val="nil"/>
              <w:left w:val="nil"/>
              <w:bottom w:val="nil"/>
              <w:right w:val="nil"/>
            </w:tcBorders>
            <w:shd w:val="clear" w:color="auto" w:fill="auto"/>
            <w:tcMar>
              <w:top w:w="0" w:type="dxa"/>
              <w:left w:w="108" w:type="dxa"/>
              <w:bottom w:w="0" w:type="dxa"/>
              <w:right w:w="108" w:type="dxa"/>
            </w:tcMar>
            <w:vAlign w:val="center"/>
            <w:hideMark/>
          </w:tcPr>
          <w:p w14:paraId="2823C97C" w14:textId="77777777" w:rsidR="00FB5F93" w:rsidRPr="00162A57" w:rsidRDefault="00FB5F93" w:rsidP="00FB5F93">
            <w:pPr>
              <w:spacing w:line="252" w:lineRule="auto"/>
              <w:ind w:left="62" w:right="100"/>
              <w:rPr>
                <w:rFonts w:cstheme="minorHAnsi"/>
              </w:rPr>
            </w:pPr>
            <w:r w:rsidRPr="00162A57">
              <w:rPr>
                <w:rFonts w:cstheme="minorHAnsi"/>
              </w:rPr>
              <w:t>Washington</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7FF56053" w14:textId="2FAE9020" w:rsidR="00FB5F93" w:rsidRPr="00162A57" w:rsidRDefault="00FB5F93" w:rsidP="00FB5F93">
            <w:pPr>
              <w:spacing w:line="252" w:lineRule="auto"/>
              <w:ind w:left="44" w:right="62"/>
              <w:rPr>
                <w:rFonts w:cstheme="minorHAnsi"/>
              </w:rPr>
            </w:pPr>
            <w:r w:rsidRPr="00162A57">
              <w:rPr>
                <w:rFonts w:cstheme="minorHAnsi"/>
              </w:rPr>
              <w:t>186</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037D5EE5" w14:textId="50339E97" w:rsidR="00FB5F93" w:rsidRPr="00162A57" w:rsidRDefault="00FB5F93" w:rsidP="00FB5F93">
            <w:pPr>
              <w:spacing w:line="252" w:lineRule="auto"/>
              <w:ind w:right="-23"/>
              <w:rPr>
                <w:rFonts w:cstheme="minorHAnsi"/>
              </w:rPr>
            </w:pPr>
            <w:r w:rsidRPr="00162A57">
              <w:rPr>
                <w:rFonts w:cstheme="minorHAnsi"/>
              </w:rPr>
              <w:t>230</w:t>
            </w:r>
          </w:p>
        </w:tc>
        <w:tc>
          <w:tcPr>
            <w:tcW w:w="1118" w:type="dxa"/>
            <w:gridSpan w:val="2"/>
            <w:tcBorders>
              <w:top w:val="nil"/>
              <w:left w:val="nil"/>
              <w:bottom w:val="nil"/>
              <w:right w:val="nil"/>
            </w:tcBorders>
            <w:shd w:val="clear" w:color="auto" w:fill="auto"/>
            <w:vAlign w:val="center"/>
          </w:tcPr>
          <w:p w14:paraId="7BAE2BB6" w14:textId="2A35A4D4" w:rsidR="00FB5F93" w:rsidRPr="00162A57" w:rsidRDefault="00FB5F93" w:rsidP="00FB5F93">
            <w:pPr>
              <w:spacing w:line="252" w:lineRule="auto"/>
              <w:ind w:right="270"/>
              <w:jc w:val="right"/>
              <w:rPr>
                <w:rFonts w:cstheme="minorHAnsi"/>
              </w:rPr>
            </w:pPr>
            <w:r w:rsidRPr="00162A57">
              <w:rPr>
                <w:rFonts w:cstheme="minorHAnsi"/>
              </w:rPr>
              <w:t>23.7%</w:t>
            </w:r>
          </w:p>
        </w:tc>
      </w:tr>
      <w:tr w:rsidR="00FB5F93" w:rsidRPr="00162A57" w14:paraId="6C79A51B" w14:textId="77777777" w:rsidTr="00A25A48">
        <w:trPr>
          <w:gridAfter w:val="2"/>
          <w:wAfter w:w="22" w:type="dxa"/>
          <w:trHeight w:val="288"/>
        </w:trPr>
        <w:tc>
          <w:tcPr>
            <w:tcW w:w="1440"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3B83169B" w14:textId="77777777" w:rsidR="00FB5F93" w:rsidRPr="00162A57" w:rsidRDefault="00FB5F93" w:rsidP="00FB5F93">
            <w:pPr>
              <w:spacing w:line="252" w:lineRule="auto"/>
              <w:ind w:left="62" w:right="100"/>
              <w:rPr>
                <w:rFonts w:cstheme="minorHAnsi"/>
              </w:rPr>
            </w:pPr>
            <w:r w:rsidRPr="00162A57">
              <w:rPr>
                <w:rFonts w:cstheme="minorHAnsi"/>
              </w:rPr>
              <w:t>Ozaukee</w:t>
            </w:r>
          </w:p>
        </w:tc>
        <w:tc>
          <w:tcPr>
            <w:tcW w:w="935"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2F070BC8" w14:textId="53875247" w:rsidR="00FB5F93" w:rsidRPr="00162A57" w:rsidRDefault="00FB5F93" w:rsidP="00FB5F93">
            <w:pPr>
              <w:spacing w:line="252" w:lineRule="auto"/>
              <w:ind w:left="44" w:right="62"/>
              <w:rPr>
                <w:rFonts w:cstheme="minorHAnsi"/>
              </w:rPr>
            </w:pPr>
            <w:r w:rsidRPr="00162A57">
              <w:rPr>
                <w:rFonts w:cstheme="minorHAnsi"/>
              </w:rPr>
              <w:t>134</w:t>
            </w:r>
          </w:p>
        </w:tc>
        <w:tc>
          <w:tcPr>
            <w:tcW w:w="82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3C5BB878" w14:textId="1A32E175" w:rsidR="00FB5F93" w:rsidRPr="00162A57" w:rsidRDefault="00FB5F93" w:rsidP="00FB5F93">
            <w:pPr>
              <w:spacing w:line="252" w:lineRule="auto"/>
              <w:ind w:right="-23"/>
              <w:rPr>
                <w:rFonts w:cstheme="minorHAnsi"/>
              </w:rPr>
            </w:pPr>
            <w:r w:rsidRPr="00162A57">
              <w:rPr>
                <w:rFonts w:cstheme="minorHAnsi"/>
              </w:rPr>
              <w:t>153</w:t>
            </w:r>
          </w:p>
        </w:tc>
        <w:tc>
          <w:tcPr>
            <w:tcW w:w="1118" w:type="dxa"/>
            <w:gridSpan w:val="2"/>
            <w:tcBorders>
              <w:top w:val="nil"/>
              <w:left w:val="nil"/>
              <w:bottom w:val="nil"/>
              <w:right w:val="nil"/>
            </w:tcBorders>
            <w:shd w:val="clear" w:color="auto" w:fill="DEEAF6" w:themeFill="accent1" w:themeFillTint="33"/>
            <w:vAlign w:val="center"/>
          </w:tcPr>
          <w:p w14:paraId="25C0B201" w14:textId="12E5F1B0" w:rsidR="00FB5F93" w:rsidRPr="00162A57" w:rsidRDefault="00FB5F93" w:rsidP="00FB5F93">
            <w:pPr>
              <w:spacing w:line="252" w:lineRule="auto"/>
              <w:ind w:right="270"/>
              <w:jc w:val="right"/>
              <w:rPr>
                <w:rFonts w:cstheme="minorHAnsi"/>
              </w:rPr>
            </w:pPr>
            <w:r w:rsidRPr="00162A57">
              <w:rPr>
                <w:rFonts w:cstheme="minorHAnsi"/>
              </w:rPr>
              <w:t>14.2%</w:t>
            </w:r>
          </w:p>
        </w:tc>
      </w:tr>
      <w:tr w:rsidR="00AE6343" w:rsidRPr="00162A57" w14:paraId="51C391E9" w14:textId="77777777" w:rsidTr="00A25A48">
        <w:trPr>
          <w:gridAfter w:val="2"/>
          <w:wAfter w:w="22" w:type="dxa"/>
          <w:trHeight w:val="288"/>
        </w:trPr>
        <w:tc>
          <w:tcPr>
            <w:tcW w:w="1440"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11BFE75C" w14:textId="17BAD946" w:rsidR="00AE6343" w:rsidRPr="00162A57" w:rsidRDefault="00D126F1" w:rsidP="001A5F8A">
            <w:pPr>
              <w:spacing w:line="252" w:lineRule="auto"/>
              <w:ind w:left="62" w:right="100"/>
              <w:rPr>
                <w:rFonts w:cstheme="minorHAnsi"/>
              </w:rPr>
            </w:pPr>
            <w:r w:rsidRPr="00162A57">
              <w:rPr>
                <w:rFonts w:cstheme="minorHAnsi"/>
              </w:rPr>
              <w:t xml:space="preserve">Metro </w:t>
            </w:r>
            <w:r w:rsidR="00AE6343" w:rsidRPr="00162A57">
              <w:rPr>
                <w:rFonts w:cstheme="minorHAnsi"/>
              </w:rPr>
              <w:t>Area</w:t>
            </w:r>
          </w:p>
        </w:tc>
        <w:tc>
          <w:tcPr>
            <w:tcW w:w="935"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0A1B734A" w14:textId="0DFD1C02" w:rsidR="00AE6343" w:rsidRPr="00162A57" w:rsidRDefault="00162A57" w:rsidP="001A5F8A">
            <w:pPr>
              <w:spacing w:line="252" w:lineRule="auto"/>
              <w:ind w:left="44" w:right="62"/>
              <w:rPr>
                <w:rFonts w:cstheme="minorHAnsi"/>
              </w:rPr>
            </w:pPr>
            <w:r w:rsidRPr="00162A57">
              <w:rPr>
                <w:rFonts w:cstheme="minorHAnsi"/>
              </w:rPr>
              <w:t>1,785</w:t>
            </w:r>
          </w:p>
        </w:tc>
        <w:tc>
          <w:tcPr>
            <w:tcW w:w="829"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5A22A091" w14:textId="7C8CD684" w:rsidR="00AE6343" w:rsidRPr="00162A57" w:rsidRDefault="00162A57" w:rsidP="001A5F8A">
            <w:pPr>
              <w:spacing w:line="252" w:lineRule="auto"/>
              <w:ind w:right="-23"/>
              <w:rPr>
                <w:rFonts w:cstheme="minorHAnsi"/>
              </w:rPr>
            </w:pPr>
            <w:r w:rsidRPr="00162A57">
              <w:rPr>
                <w:rFonts w:cstheme="minorHAnsi"/>
              </w:rPr>
              <w:t>2,289</w:t>
            </w:r>
          </w:p>
        </w:tc>
        <w:tc>
          <w:tcPr>
            <w:tcW w:w="1118" w:type="dxa"/>
            <w:gridSpan w:val="2"/>
            <w:tcBorders>
              <w:top w:val="nil"/>
              <w:left w:val="nil"/>
              <w:bottom w:val="nil"/>
              <w:right w:val="nil"/>
            </w:tcBorders>
            <w:shd w:val="clear" w:color="auto" w:fill="auto"/>
            <w:vAlign w:val="center"/>
          </w:tcPr>
          <w:p w14:paraId="7D76CDD6" w14:textId="56C234D3" w:rsidR="00AE6343" w:rsidRPr="00162A57" w:rsidRDefault="00162A57" w:rsidP="001A5F8A">
            <w:pPr>
              <w:spacing w:line="252" w:lineRule="auto"/>
              <w:ind w:right="270"/>
              <w:jc w:val="right"/>
              <w:rPr>
                <w:rFonts w:cstheme="minorHAnsi"/>
              </w:rPr>
            </w:pPr>
            <w:r w:rsidRPr="00162A57">
              <w:rPr>
                <w:rFonts w:cstheme="minorHAnsi"/>
              </w:rPr>
              <w:t>28.2</w:t>
            </w:r>
            <w:r w:rsidR="00AE6343" w:rsidRPr="00162A57">
              <w:rPr>
                <w:rFonts w:cstheme="minorHAnsi"/>
              </w:rPr>
              <w:t>%</w:t>
            </w:r>
          </w:p>
        </w:tc>
      </w:tr>
      <w:tr w:rsidR="001A5F8A" w:rsidRPr="00162A57" w14:paraId="590F9D57" w14:textId="77777777" w:rsidTr="00A25A48">
        <w:trPr>
          <w:gridAfter w:val="1"/>
          <w:wAfter w:w="6" w:type="dxa"/>
          <w:trHeight w:val="80"/>
        </w:trPr>
        <w:tc>
          <w:tcPr>
            <w:tcW w:w="4338" w:type="dxa"/>
            <w:gridSpan w:val="8"/>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D8E5995" w14:textId="77777777" w:rsidR="001A5F8A" w:rsidRPr="00162A57" w:rsidRDefault="001A5F8A" w:rsidP="00F03600">
            <w:pPr>
              <w:spacing w:line="252" w:lineRule="auto"/>
              <w:ind w:right="270"/>
              <w:rPr>
                <w:rFonts w:cstheme="minorHAnsi"/>
                <w:sz w:val="10"/>
                <w:szCs w:val="10"/>
              </w:rPr>
            </w:pPr>
          </w:p>
        </w:tc>
      </w:tr>
      <w:tr w:rsidR="00FB5F93" w:rsidRPr="00162A57" w14:paraId="44B32B09" w14:textId="77777777" w:rsidTr="00A25A48">
        <w:trPr>
          <w:trHeight w:val="288"/>
        </w:trPr>
        <w:tc>
          <w:tcPr>
            <w:tcW w:w="1456" w:type="dxa"/>
            <w:gridSpan w:val="2"/>
            <w:tcBorders>
              <w:top w:val="nil"/>
              <w:left w:val="nil"/>
              <w:bottom w:val="nil"/>
              <w:right w:val="nil"/>
            </w:tcBorders>
            <w:shd w:val="clear" w:color="auto" w:fill="auto"/>
            <w:tcMar>
              <w:top w:w="0" w:type="dxa"/>
              <w:left w:w="108" w:type="dxa"/>
              <w:bottom w:w="0" w:type="dxa"/>
              <w:right w:w="108" w:type="dxa"/>
            </w:tcMar>
            <w:vAlign w:val="center"/>
          </w:tcPr>
          <w:p w14:paraId="47140851" w14:textId="77777777" w:rsidR="00FB5F93" w:rsidRPr="00162A57" w:rsidRDefault="00FB5F93" w:rsidP="00FB5F93">
            <w:pPr>
              <w:spacing w:line="252" w:lineRule="auto"/>
              <w:ind w:left="62" w:right="100"/>
              <w:rPr>
                <w:rFonts w:cstheme="minorHAnsi"/>
              </w:rPr>
            </w:pPr>
            <w:r w:rsidRPr="00162A57">
              <w:rPr>
                <w:rFonts w:cstheme="minorHAnsi"/>
              </w:rPr>
              <w:t>Racine</w:t>
            </w:r>
          </w:p>
        </w:tc>
        <w:tc>
          <w:tcPr>
            <w:tcW w:w="935" w:type="dxa"/>
            <w:gridSpan w:val="2"/>
            <w:tcBorders>
              <w:top w:val="nil"/>
              <w:left w:val="nil"/>
              <w:bottom w:val="nil"/>
              <w:right w:val="nil"/>
            </w:tcBorders>
            <w:shd w:val="clear" w:color="auto" w:fill="auto"/>
            <w:tcMar>
              <w:top w:w="0" w:type="dxa"/>
              <w:left w:w="108" w:type="dxa"/>
              <w:bottom w:w="0" w:type="dxa"/>
              <w:right w:w="108" w:type="dxa"/>
            </w:tcMar>
          </w:tcPr>
          <w:p w14:paraId="668FF2FA" w14:textId="382CB740" w:rsidR="00FB5F93" w:rsidRPr="00162A57" w:rsidRDefault="00FB5F93" w:rsidP="00FB5F93">
            <w:pPr>
              <w:spacing w:line="252" w:lineRule="auto"/>
              <w:ind w:left="44" w:right="62"/>
              <w:rPr>
                <w:rFonts w:cstheme="minorHAnsi"/>
              </w:rPr>
            </w:pPr>
            <w:r w:rsidRPr="00162A57">
              <w:rPr>
                <w:rFonts w:cstheme="minorHAnsi"/>
              </w:rPr>
              <w:t>277</w:t>
            </w:r>
          </w:p>
        </w:tc>
        <w:tc>
          <w:tcPr>
            <w:tcW w:w="829" w:type="dxa"/>
            <w:gridSpan w:val="2"/>
            <w:tcBorders>
              <w:top w:val="nil"/>
              <w:left w:val="nil"/>
              <w:bottom w:val="nil"/>
              <w:right w:val="nil"/>
            </w:tcBorders>
            <w:shd w:val="clear" w:color="auto" w:fill="auto"/>
            <w:tcMar>
              <w:top w:w="0" w:type="dxa"/>
              <w:left w:w="108" w:type="dxa"/>
              <w:bottom w:w="0" w:type="dxa"/>
              <w:right w:w="108" w:type="dxa"/>
            </w:tcMar>
          </w:tcPr>
          <w:p w14:paraId="3B693BB5" w14:textId="6C84D36C" w:rsidR="00FB5F93" w:rsidRPr="00162A57" w:rsidRDefault="00FB5F93" w:rsidP="00FB5F93">
            <w:pPr>
              <w:spacing w:line="252" w:lineRule="auto"/>
              <w:ind w:right="-23"/>
              <w:rPr>
                <w:rFonts w:cstheme="minorHAnsi"/>
              </w:rPr>
            </w:pPr>
            <w:r w:rsidRPr="00162A57">
              <w:rPr>
                <w:rFonts w:cstheme="minorHAnsi"/>
              </w:rPr>
              <w:t>332</w:t>
            </w:r>
          </w:p>
        </w:tc>
        <w:tc>
          <w:tcPr>
            <w:tcW w:w="1124" w:type="dxa"/>
            <w:gridSpan w:val="3"/>
            <w:tcBorders>
              <w:top w:val="nil"/>
              <w:left w:val="nil"/>
              <w:bottom w:val="nil"/>
              <w:right w:val="nil"/>
            </w:tcBorders>
            <w:shd w:val="clear" w:color="auto" w:fill="auto"/>
            <w:vAlign w:val="center"/>
          </w:tcPr>
          <w:p w14:paraId="4F247541" w14:textId="6F273F57" w:rsidR="00FB5F93" w:rsidRPr="00162A57" w:rsidRDefault="00FB5F93" w:rsidP="00FB5F93">
            <w:pPr>
              <w:spacing w:line="252" w:lineRule="auto"/>
              <w:ind w:right="270"/>
              <w:jc w:val="right"/>
              <w:rPr>
                <w:rFonts w:cstheme="minorHAnsi"/>
              </w:rPr>
            </w:pPr>
            <w:r w:rsidRPr="00162A57">
              <w:rPr>
                <w:rFonts w:cstheme="minorHAnsi"/>
              </w:rPr>
              <w:t>19.9%</w:t>
            </w:r>
          </w:p>
        </w:tc>
      </w:tr>
      <w:tr w:rsidR="00FB5F93" w:rsidRPr="00162A57" w14:paraId="33079932" w14:textId="77777777" w:rsidTr="00A25A48">
        <w:trPr>
          <w:trHeight w:val="288"/>
        </w:trPr>
        <w:tc>
          <w:tcPr>
            <w:tcW w:w="1456"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886CBBE" w14:textId="77777777" w:rsidR="00FB5F93" w:rsidRPr="00162A57" w:rsidRDefault="00FB5F93" w:rsidP="00FB5F93">
            <w:pPr>
              <w:spacing w:line="252" w:lineRule="auto"/>
              <w:ind w:left="62" w:right="100"/>
              <w:rPr>
                <w:rFonts w:cstheme="minorHAnsi"/>
              </w:rPr>
            </w:pPr>
            <w:r w:rsidRPr="00162A57">
              <w:rPr>
                <w:rFonts w:cstheme="minorHAnsi"/>
              </w:rPr>
              <w:t>Kenosha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5642F8D6" w14:textId="5034629C" w:rsidR="00FB5F93" w:rsidRPr="00162A57" w:rsidRDefault="00FB5F93" w:rsidP="00FB5F93">
            <w:pPr>
              <w:spacing w:line="252" w:lineRule="auto"/>
              <w:ind w:left="44" w:right="62"/>
              <w:rPr>
                <w:rFonts w:cstheme="minorHAnsi"/>
              </w:rPr>
            </w:pPr>
            <w:r w:rsidRPr="00162A57">
              <w:rPr>
                <w:rFonts w:cstheme="minorHAnsi"/>
              </w:rPr>
              <w:t>226</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tcPr>
          <w:p w14:paraId="62510826" w14:textId="1BAE13C6" w:rsidR="00FB5F93" w:rsidRPr="00162A57" w:rsidRDefault="00FB5F93" w:rsidP="00FB5F93">
            <w:pPr>
              <w:spacing w:line="252" w:lineRule="auto"/>
              <w:ind w:right="-23"/>
              <w:rPr>
                <w:rFonts w:cstheme="minorHAnsi"/>
              </w:rPr>
            </w:pPr>
            <w:r w:rsidRPr="00162A57">
              <w:rPr>
                <w:rFonts w:cstheme="minorHAnsi"/>
              </w:rPr>
              <w:t>231</w:t>
            </w:r>
          </w:p>
        </w:tc>
        <w:tc>
          <w:tcPr>
            <w:tcW w:w="1124" w:type="dxa"/>
            <w:gridSpan w:val="3"/>
            <w:tcBorders>
              <w:top w:val="nil"/>
              <w:left w:val="nil"/>
              <w:bottom w:val="nil"/>
              <w:right w:val="nil"/>
            </w:tcBorders>
            <w:shd w:val="clear" w:color="auto" w:fill="DEEAF6" w:themeFill="accent1" w:themeFillTint="33"/>
            <w:vAlign w:val="center"/>
          </w:tcPr>
          <w:p w14:paraId="59B294E9" w14:textId="4A895649" w:rsidR="00FB5F93" w:rsidRPr="00162A57" w:rsidRDefault="00FB5F93" w:rsidP="00FB5F93">
            <w:pPr>
              <w:spacing w:line="252" w:lineRule="auto"/>
              <w:ind w:right="270"/>
              <w:jc w:val="right"/>
              <w:rPr>
                <w:rFonts w:cstheme="minorHAnsi"/>
              </w:rPr>
            </w:pPr>
            <w:r w:rsidRPr="00162A57">
              <w:rPr>
                <w:rFonts w:cstheme="minorHAnsi"/>
              </w:rPr>
              <w:t>2.2%</w:t>
            </w:r>
          </w:p>
        </w:tc>
      </w:tr>
      <w:tr w:rsidR="00FB5F93" w:rsidRPr="00162A57" w14:paraId="74ECA7EF" w14:textId="77777777" w:rsidTr="00A25A48">
        <w:trPr>
          <w:trHeight w:val="288"/>
        </w:trPr>
        <w:tc>
          <w:tcPr>
            <w:tcW w:w="1456"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458CD1E1" w14:textId="77777777" w:rsidR="00FB5F93" w:rsidRPr="00162A57" w:rsidRDefault="00FB5F93" w:rsidP="00FB5F93">
            <w:pPr>
              <w:spacing w:line="252" w:lineRule="auto"/>
              <w:ind w:left="62" w:right="100"/>
              <w:rPr>
                <w:rFonts w:cstheme="minorHAnsi"/>
              </w:rPr>
            </w:pPr>
            <w:r w:rsidRPr="00162A57">
              <w:rPr>
                <w:rFonts w:cstheme="minorHAnsi"/>
              </w:rPr>
              <w:t>Walworth</w:t>
            </w:r>
          </w:p>
        </w:tc>
        <w:tc>
          <w:tcPr>
            <w:tcW w:w="935" w:type="dxa"/>
            <w:gridSpan w:val="2"/>
            <w:tcBorders>
              <w:top w:val="nil"/>
              <w:left w:val="nil"/>
              <w:bottom w:val="single" w:sz="4" w:space="0" w:color="auto"/>
              <w:right w:val="nil"/>
            </w:tcBorders>
            <w:shd w:val="clear" w:color="auto" w:fill="auto"/>
            <w:tcMar>
              <w:top w:w="0" w:type="dxa"/>
              <w:left w:w="108" w:type="dxa"/>
              <w:bottom w:w="0" w:type="dxa"/>
              <w:right w:w="108" w:type="dxa"/>
            </w:tcMar>
            <w:vAlign w:val="bottom"/>
          </w:tcPr>
          <w:p w14:paraId="465C7FDA" w14:textId="32494FCA" w:rsidR="00FB5F93" w:rsidRPr="00162A57" w:rsidRDefault="00FB5F93" w:rsidP="00FB5F93">
            <w:pPr>
              <w:spacing w:line="252" w:lineRule="auto"/>
              <w:ind w:left="44" w:right="62"/>
              <w:rPr>
                <w:rFonts w:cstheme="minorHAnsi"/>
              </w:rPr>
            </w:pPr>
            <w:r w:rsidRPr="00162A57">
              <w:rPr>
                <w:rFonts w:cstheme="minorHAnsi"/>
                <w:sz w:val="20"/>
                <w:szCs w:val="20"/>
              </w:rPr>
              <w:t>146</w:t>
            </w:r>
          </w:p>
        </w:tc>
        <w:tc>
          <w:tcPr>
            <w:tcW w:w="829" w:type="dxa"/>
            <w:gridSpan w:val="2"/>
            <w:tcBorders>
              <w:top w:val="nil"/>
              <w:left w:val="nil"/>
              <w:bottom w:val="single" w:sz="4" w:space="0" w:color="auto"/>
              <w:right w:val="nil"/>
            </w:tcBorders>
            <w:shd w:val="clear" w:color="auto" w:fill="auto"/>
            <w:tcMar>
              <w:top w:w="0" w:type="dxa"/>
              <w:left w:w="108" w:type="dxa"/>
              <w:bottom w:w="0" w:type="dxa"/>
              <w:right w:w="108" w:type="dxa"/>
            </w:tcMar>
            <w:vAlign w:val="bottom"/>
          </w:tcPr>
          <w:p w14:paraId="65A1A33D" w14:textId="6A729AF0" w:rsidR="00FB5F93" w:rsidRPr="00162A57" w:rsidRDefault="00FB5F93" w:rsidP="00FB5F93">
            <w:pPr>
              <w:spacing w:line="252" w:lineRule="auto"/>
              <w:ind w:right="-23"/>
              <w:rPr>
                <w:rFonts w:cstheme="minorHAnsi"/>
              </w:rPr>
            </w:pPr>
            <w:r w:rsidRPr="00162A57">
              <w:rPr>
                <w:rFonts w:cstheme="minorHAnsi"/>
                <w:sz w:val="20"/>
                <w:szCs w:val="20"/>
              </w:rPr>
              <w:t>233</w:t>
            </w:r>
          </w:p>
        </w:tc>
        <w:tc>
          <w:tcPr>
            <w:tcW w:w="1124" w:type="dxa"/>
            <w:gridSpan w:val="3"/>
            <w:tcBorders>
              <w:top w:val="nil"/>
              <w:left w:val="nil"/>
              <w:bottom w:val="nil"/>
              <w:right w:val="nil"/>
            </w:tcBorders>
            <w:shd w:val="clear" w:color="auto" w:fill="auto"/>
            <w:vAlign w:val="center"/>
          </w:tcPr>
          <w:p w14:paraId="05003B39" w14:textId="7BB51A8F" w:rsidR="00FB5F93" w:rsidRPr="00162A57" w:rsidRDefault="00FB5F93" w:rsidP="00FB5F93">
            <w:pPr>
              <w:spacing w:line="252" w:lineRule="auto"/>
              <w:ind w:right="270"/>
              <w:jc w:val="right"/>
              <w:rPr>
                <w:rFonts w:cstheme="minorHAnsi"/>
              </w:rPr>
            </w:pPr>
            <w:r w:rsidRPr="00162A57">
              <w:rPr>
                <w:rFonts w:cstheme="minorHAnsi"/>
              </w:rPr>
              <w:t>59.6%</w:t>
            </w:r>
          </w:p>
        </w:tc>
      </w:tr>
      <w:tr w:rsidR="00AE6343" w:rsidRPr="00162A57" w14:paraId="44A28211" w14:textId="77777777" w:rsidTr="00A25A48">
        <w:trPr>
          <w:trHeight w:val="288"/>
        </w:trPr>
        <w:tc>
          <w:tcPr>
            <w:tcW w:w="1456"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35F37ECD" w14:textId="396E955C" w:rsidR="00AE6343" w:rsidRPr="00162A57" w:rsidRDefault="0043444E" w:rsidP="001A5F8A">
            <w:pPr>
              <w:spacing w:line="252" w:lineRule="auto"/>
              <w:ind w:left="62" w:right="100"/>
              <w:rPr>
                <w:rFonts w:cstheme="minorHAnsi"/>
              </w:rPr>
            </w:pPr>
            <w:r w:rsidRPr="00162A57">
              <w:rPr>
                <w:rFonts w:cstheme="minorHAnsi"/>
              </w:rPr>
              <w:t>SE WI</w:t>
            </w:r>
            <w:r w:rsidR="00AE6343" w:rsidRPr="00162A57">
              <w:rPr>
                <w:rFonts w:cstheme="minorHAnsi"/>
              </w:rPr>
              <w:t xml:space="preserve"> Area</w:t>
            </w:r>
          </w:p>
        </w:tc>
        <w:tc>
          <w:tcPr>
            <w:tcW w:w="935"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5954456E" w14:textId="259412E9" w:rsidR="00AE6343" w:rsidRPr="00162A57" w:rsidRDefault="00162A57" w:rsidP="001A5F8A">
            <w:pPr>
              <w:spacing w:line="252" w:lineRule="auto"/>
              <w:ind w:left="44" w:right="62"/>
              <w:rPr>
                <w:rFonts w:cstheme="minorHAnsi"/>
              </w:rPr>
            </w:pPr>
            <w:r w:rsidRPr="00162A57">
              <w:rPr>
                <w:rFonts w:cstheme="minorHAnsi"/>
              </w:rPr>
              <w:t>2,434</w:t>
            </w:r>
          </w:p>
        </w:tc>
        <w:tc>
          <w:tcPr>
            <w:tcW w:w="82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10F86754" w14:textId="529C1398" w:rsidR="00AE6343" w:rsidRPr="00162A57" w:rsidRDefault="00162A57" w:rsidP="001A5F8A">
            <w:pPr>
              <w:spacing w:line="252" w:lineRule="auto"/>
              <w:ind w:right="-23"/>
              <w:rPr>
                <w:rFonts w:cstheme="minorHAnsi"/>
              </w:rPr>
            </w:pPr>
            <w:r w:rsidRPr="00162A57">
              <w:rPr>
                <w:rFonts w:cstheme="minorHAnsi"/>
              </w:rPr>
              <w:t>3,085</w:t>
            </w:r>
          </w:p>
        </w:tc>
        <w:tc>
          <w:tcPr>
            <w:tcW w:w="1124" w:type="dxa"/>
            <w:gridSpan w:val="3"/>
            <w:tcBorders>
              <w:top w:val="nil"/>
              <w:left w:val="nil"/>
              <w:bottom w:val="nil"/>
              <w:right w:val="nil"/>
            </w:tcBorders>
            <w:shd w:val="clear" w:color="auto" w:fill="DEEAF6" w:themeFill="accent1" w:themeFillTint="33"/>
            <w:vAlign w:val="center"/>
          </w:tcPr>
          <w:p w14:paraId="24A0B73E" w14:textId="1E9A46C8" w:rsidR="00AE6343" w:rsidRPr="00162A57" w:rsidRDefault="00162A57" w:rsidP="001A5F8A">
            <w:pPr>
              <w:spacing w:line="252" w:lineRule="auto"/>
              <w:ind w:right="270"/>
              <w:jc w:val="right"/>
              <w:rPr>
                <w:rFonts w:cstheme="minorHAnsi"/>
              </w:rPr>
            </w:pPr>
            <w:r w:rsidRPr="00162A57">
              <w:rPr>
                <w:rFonts w:cstheme="minorHAnsi"/>
              </w:rPr>
              <w:t>26.7</w:t>
            </w:r>
            <w:r w:rsidR="00AE6343" w:rsidRPr="00162A57">
              <w:rPr>
                <w:rFonts w:cstheme="minorHAnsi"/>
              </w:rPr>
              <w:t>%</w:t>
            </w:r>
          </w:p>
        </w:tc>
      </w:tr>
      <w:tr w:rsidR="00450916" w:rsidRPr="00162A57" w14:paraId="7C9EAB4E" w14:textId="77777777" w:rsidTr="00A25A48">
        <w:trPr>
          <w:gridAfter w:val="1"/>
          <w:wAfter w:w="6" w:type="dxa"/>
          <w:trHeight w:val="144"/>
        </w:trPr>
        <w:tc>
          <w:tcPr>
            <w:tcW w:w="4338" w:type="dxa"/>
            <w:gridSpan w:val="8"/>
            <w:tcBorders>
              <w:top w:val="nil"/>
              <w:left w:val="nil"/>
              <w:bottom w:val="nil"/>
              <w:right w:val="nil"/>
            </w:tcBorders>
            <w:shd w:val="clear" w:color="auto" w:fill="auto"/>
            <w:tcMar>
              <w:top w:w="0" w:type="dxa"/>
              <w:left w:w="108" w:type="dxa"/>
              <w:bottom w:w="0" w:type="dxa"/>
              <w:right w:w="108" w:type="dxa"/>
            </w:tcMar>
            <w:vAlign w:val="center"/>
          </w:tcPr>
          <w:p w14:paraId="41C6A46C" w14:textId="77777777" w:rsidR="00450916" w:rsidRPr="00162A57" w:rsidRDefault="00450916" w:rsidP="001A5F8A">
            <w:pPr>
              <w:spacing w:line="252" w:lineRule="auto"/>
              <w:ind w:right="270"/>
              <w:rPr>
                <w:rFonts w:cstheme="minorHAnsi"/>
                <w:sz w:val="20"/>
                <w:szCs w:val="20"/>
              </w:rPr>
            </w:pPr>
          </w:p>
        </w:tc>
      </w:tr>
      <w:tr w:rsidR="00450916" w:rsidRPr="00162A57" w14:paraId="4F6DF1D7" w14:textId="77777777" w:rsidTr="00A25A48">
        <w:trPr>
          <w:gridAfter w:val="1"/>
          <w:wAfter w:w="6" w:type="dxa"/>
          <w:trHeight w:val="288"/>
        </w:trPr>
        <w:tc>
          <w:tcPr>
            <w:tcW w:w="4338" w:type="dxa"/>
            <w:gridSpan w:val="8"/>
            <w:tcBorders>
              <w:top w:val="nil"/>
              <w:left w:val="nil"/>
              <w:bottom w:val="nil"/>
              <w:right w:val="nil"/>
            </w:tcBorders>
            <w:shd w:val="clear" w:color="auto" w:fill="auto"/>
            <w:tcMar>
              <w:top w:w="0" w:type="dxa"/>
              <w:left w:w="108" w:type="dxa"/>
              <w:bottom w:w="0" w:type="dxa"/>
              <w:right w:w="108" w:type="dxa"/>
            </w:tcMar>
            <w:vAlign w:val="center"/>
          </w:tcPr>
          <w:p w14:paraId="72981516" w14:textId="0897D147" w:rsidR="00450916" w:rsidRPr="00162A57" w:rsidRDefault="0055631D" w:rsidP="001C2B1D">
            <w:pPr>
              <w:spacing w:line="252" w:lineRule="auto"/>
              <w:ind w:left="-105" w:right="270"/>
              <w:rPr>
                <w:rFonts w:cstheme="minorHAnsi"/>
              </w:rPr>
            </w:pPr>
            <w:r>
              <w:rPr>
                <w:rFonts w:cstheme="minorHAnsi"/>
                <w:b/>
              </w:rPr>
              <w:t xml:space="preserve">Sales Through </w:t>
            </w:r>
            <w:r w:rsidR="00FB5F93" w:rsidRPr="00162A57">
              <w:rPr>
                <w:rFonts w:cstheme="minorHAnsi"/>
                <w:b/>
              </w:rPr>
              <w:t>3</w:t>
            </w:r>
            <w:r w:rsidR="00FB5F93" w:rsidRPr="004C7E31">
              <w:rPr>
                <w:rFonts w:cstheme="minorHAnsi"/>
                <w:b/>
                <w:vertAlign w:val="superscript"/>
              </w:rPr>
              <w:t>rd</w:t>
            </w:r>
            <w:r w:rsidR="00450916" w:rsidRPr="00162A57">
              <w:rPr>
                <w:rFonts w:cstheme="minorHAnsi"/>
                <w:b/>
              </w:rPr>
              <w:t xml:space="preserve"> </w:t>
            </w:r>
            <w:r w:rsidR="006D6799" w:rsidRPr="00162A57">
              <w:rPr>
                <w:rFonts w:cstheme="minorHAnsi"/>
                <w:b/>
              </w:rPr>
              <w:t>Qtr.</w:t>
            </w:r>
            <w:r w:rsidR="00450916" w:rsidRPr="00162A57">
              <w:rPr>
                <w:rFonts w:cstheme="minorHAnsi"/>
              </w:rPr>
              <w:t xml:space="preserve">  </w:t>
            </w:r>
            <w:r w:rsidR="00450916" w:rsidRPr="00162A57">
              <w:rPr>
                <w:rFonts w:cstheme="minorHAnsi"/>
                <w:sz w:val="20"/>
                <w:szCs w:val="20"/>
              </w:rPr>
              <w:t xml:space="preserve">(Jan 1 – </w:t>
            </w:r>
            <w:r w:rsidR="00956B75">
              <w:rPr>
                <w:rFonts w:cstheme="minorHAnsi"/>
                <w:sz w:val="20"/>
                <w:szCs w:val="20"/>
              </w:rPr>
              <w:t>Sept</w:t>
            </w:r>
            <w:r w:rsidR="00450916" w:rsidRPr="00162A57">
              <w:rPr>
                <w:rFonts w:cstheme="minorHAnsi"/>
                <w:sz w:val="20"/>
                <w:szCs w:val="20"/>
              </w:rPr>
              <w:t xml:space="preserve"> 3</w:t>
            </w:r>
            <w:r w:rsidR="00F03600" w:rsidRPr="00162A57">
              <w:rPr>
                <w:rFonts w:cstheme="minorHAnsi"/>
                <w:sz w:val="20"/>
                <w:szCs w:val="20"/>
              </w:rPr>
              <w:t>0</w:t>
            </w:r>
            <w:r w:rsidR="00450916" w:rsidRPr="00162A57">
              <w:rPr>
                <w:rFonts w:cstheme="minorHAnsi"/>
                <w:sz w:val="20"/>
                <w:szCs w:val="20"/>
              </w:rPr>
              <w:t>)</w:t>
            </w:r>
          </w:p>
        </w:tc>
      </w:tr>
      <w:tr w:rsidR="00450916" w:rsidRPr="00162A57" w14:paraId="7E9C6659" w14:textId="77777777" w:rsidTr="00A25A48">
        <w:trPr>
          <w:trHeight w:val="288"/>
        </w:trPr>
        <w:tc>
          <w:tcPr>
            <w:tcW w:w="1456" w:type="dxa"/>
            <w:gridSpan w:val="2"/>
            <w:tcBorders>
              <w:top w:val="nil"/>
              <w:left w:val="nil"/>
              <w:bottom w:val="nil"/>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4E7E0EA4" w14:textId="510F4D4E" w:rsidR="00450916" w:rsidRPr="00162A57" w:rsidRDefault="00450916" w:rsidP="001A5F8A">
            <w:pPr>
              <w:spacing w:line="252" w:lineRule="auto"/>
              <w:ind w:left="62" w:right="100"/>
              <w:rPr>
                <w:rFonts w:cstheme="minorHAnsi"/>
                <w:b/>
              </w:rPr>
            </w:pPr>
            <w:r w:rsidRPr="00162A57">
              <w:rPr>
                <w:rFonts w:cstheme="minorHAnsi"/>
                <w:b/>
                <w:color w:val="FFFFFF" w:themeColor="background1"/>
              </w:rPr>
              <w:t>County</w:t>
            </w:r>
          </w:p>
        </w:tc>
        <w:tc>
          <w:tcPr>
            <w:tcW w:w="935" w:type="dxa"/>
            <w:gridSpan w:val="2"/>
            <w:tcBorders>
              <w:top w:val="nil"/>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tcPr>
          <w:p w14:paraId="55048FDB" w14:textId="5315959B" w:rsidR="00450916" w:rsidRPr="00162A57" w:rsidRDefault="00450916" w:rsidP="001A5F8A">
            <w:pPr>
              <w:spacing w:line="252" w:lineRule="auto"/>
              <w:ind w:left="44" w:right="62"/>
              <w:rPr>
                <w:rFonts w:cstheme="minorHAnsi"/>
              </w:rPr>
            </w:pPr>
            <w:r w:rsidRPr="00162A57">
              <w:rPr>
                <w:rFonts w:cstheme="minorHAnsi"/>
                <w:color w:val="FFFFFF" w:themeColor="background1"/>
              </w:rPr>
              <w:t>2019</w:t>
            </w:r>
          </w:p>
        </w:tc>
        <w:tc>
          <w:tcPr>
            <w:tcW w:w="829" w:type="dxa"/>
            <w:gridSpan w:val="2"/>
            <w:tcBorders>
              <w:top w:val="nil"/>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tcPr>
          <w:p w14:paraId="2B0F9C14" w14:textId="7E194734" w:rsidR="00450916" w:rsidRPr="00162A57" w:rsidRDefault="00450916" w:rsidP="001A5F8A">
            <w:pPr>
              <w:spacing w:line="252" w:lineRule="auto"/>
              <w:ind w:right="-23"/>
              <w:rPr>
                <w:rFonts w:cstheme="minorHAnsi"/>
              </w:rPr>
            </w:pPr>
            <w:r w:rsidRPr="00162A57">
              <w:rPr>
                <w:rFonts w:cstheme="minorHAnsi"/>
                <w:color w:val="FFFFFF" w:themeColor="background1"/>
              </w:rPr>
              <w:t>2020</w:t>
            </w:r>
          </w:p>
        </w:tc>
        <w:tc>
          <w:tcPr>
            <w:tcW w:w="1124" w:type="dxa"/>
            <w:gridSpan w:val="3"/>
            <w:tcBorders>
              <w:top w:val="nil"/>
              <w:left w:val="single" w:sz="12" w:space="0" w:color="FFFFFF" w:themeColor="background1"/>
              <w:bottom w:val="nil"/>
              <w:right w:val="nil"/>
            </w:tcBorders>
            <w:shd w:val="clear" w:color="auto" w:fill="1F4E79" w:themeFill="accent1" w:themeFillShade="80"/>
            <w:vAlign w:val="center"/>
          </w:tcPr>
          <w:p w14:paraId="10E364BD" w14:textId="2ACD8550" w:rsidR="00450916" w:rsidRPr="00162A57" w:rsidRDefault="00450916" w:rsidP="001A5F8A">
            <w:pPr>
              <w:spacing w:line="252" w:lineRule="auto"/>
              <w:ind w:right="60"/>
              <w:jc w:val="center"/>
              <w:rPr>
                <w:rFonts w:cstheme="minorHAnsi"/>
              </w:rPr>
            </w:pPr>
            <w:r w:rsidRPr="00162A57">
              <w:rPr>
                <w:rFonts w:cstheme="minorHAnsi"/>
                <w:color w:val="FFFFFF" w:themeColor="background1"/>
              </w:rPr>
              <w:t>% Change</w:t>
            </w:r>
          </w:p>
        </w:tc>
      </w:tr>
      <w:tr w:rsidR="00EB49AC" w:rsidRPr="00162A57" w14:paraId="3AB0D9B3" w14:textId="77777777" w:rsidTr="00A25A48">
        <w:trPr>
          <w:trHeight w:val="288"/>
        </w:trPr>
        <w:tc>
          <w:tcPr>
            <w:tcW w:w="1456" w:type="dxa"/>
            <w:gridSpan w:val="2"/>
            <w:tcBorders>
              <w:top w:val="nil"/>
              <w:left w:val="nil"/>
              <w:bottom w:val="nil"/>
              <w:right w:val="nil"/>
            </w:tcBorders>
            <w:shd w:val="clear" w:color="auto" w:fill="auto"/>
            <w:tcMar>
              <w:top w:w="0" w:type="dxa"/>
              <w:left w:w="108" w:type="dxa"/>
              <w:bottom w:w="0" w:type="dxa"/>
              <w:right w:w="108" w:type="dxa"/>
            </w:tcMar>
            <w:vAlign w:val="center"/>
          </w:tcPr>
          <w:p w14:paraId="415FD58D" w14:textId="2D9C8DC8" w:rsidR="00EB49AC" w:rsidRPr="00162A57" w:rsidRDefault="00EB49AC" w:rsidP="00EB49AC">
            <w:pPr>
              <w:spacing w:line="252" w:lineRule="auto"/>
              <w:ind w:left="62" w:right="100"/>
              <w:rPr>
                <w:rFonts w:cstheme="minorHAnsi"/>
                <w:b/>
                <w:color w:val="FFFFFF" w:themeColor="background1"/>
              </w:rPr>
            </w:pPr>
            <w:r w:rsidRPr="00162A57">
              <w:rPr>
                <w:rFonts w:cstheme="minorHAnsi"/>
              </w:rPr>
              <w:t>Milwaukee</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bottom"/>
          </w:tcPr>
          <w:p w14:paraId="149050E6" w14:textId="1319301C" w:rsidR="00EB49AC" w:rsidRPr="00162A57" w:rsidRDefault="00EB49AC" w:rsidP="00EB49AC">
            <w:pPr>
              <w:spacing w:line="252" w:lineRule="auto"/>
              <w:ind w:left="44" w:right="62"/>
              <w:rPr>
                <w:rFonts w:cstheme="minorHAnsi"/>
              </w:rPr>
            </w:pPr>
            <w:r w:rsidRPr="00162A57">
              <w:rPr>
                <w:rFonts w:cstheme="minorHAnsi"/>
              </w:rPr>
              <w:t>8</w:t>
            </w:r>
            <w:r w:rsidR="00162A57">
              <w:rPr>
                <w:rFonts w:cstheme="minorHAnsi"/>
              </w:rPr>
              <w:t>,</w:t>
            </w:r>
            <w:r w:rsidRPr="00162A57">
              <w:rPr>
                <w:rFonts w:cstheme="minorHAnsi"/>
              </w:rPr>
              <w:t>905</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bottom"/>
          </w:tcPr>
          <w:p w14:paraId="7F7C56C0" w14:textId="708771F0" w:rsidR="00EB49AC" w:rsidRPr="00162A57" w:rsidRDefault="00EB49AC" w:rsidP="00EB49AC">
            <w:pPr>
              <w:spacing w:line="252" w:lineRule="auto"/>
              <w:ind w:right="-23"/>
              <w:rPr>
                <w:rFonts w:cstheme="minorHAnsi"/>
                <w:color w:val="FFFFFF" w:themeColor="background1"/>
              </w:rPr>
            </w:pPr>
            <w:r w:rsidRPr="00162A57">
              <w:rPr>
                <w:rFonts w:cstheme="minorHAnsi"/>
              </w:rPr>
              <w:t>8</w:t>
            </w:r>
            <w:r w:rsidR="00162A57">
              <w:rPr>
                <w:rFonts w:cstheme="minorHAnsi"/>
              </w:rPr>
              <w:t>,</w:t>
            </w:r>
            <w:r w:rsidRPr="00162A57">
              <w:rPr>
                <w:rFonts w:cstheme="minorHAnsi"/>
              </w:rPr>
              <w:t>824</w:t>
            </w:r>
          </w:p>
        </w:tc>
        <w:tc>
          <w:tcPr>
            <w:tcW w:w="1124" w:type="dxa"/>
            <w:gridSpan w:val="3"/>
            <w:tcBorders>
              <w:top w:val="nil"/>
              <w:left w:val="nil"/>
              <w:bottom w:val="nil"/>
              <w:right w:val="nil"/>
            </w:tcBorders>
            <w:shd w:val="clear" w:color="auto" w:fill="auto"/>
          </w:tcPr>
          <w:p w14:paraId="601903BA" w14:textId="1CE73882" w:rsidR="00EB49AC" w:rsidRPr="00162A57" w:rsidRDefault="00EB49AC" w:rsidP="00EB49AC">
            <w:pPr>
              <w:spacing w:line="252" w:lineRule="auto"/>
              <w:ind w:right="270"/>
              <w:jc w:val="right"/>
              <w:rPr>
                <w:rFonts w:cstheme="minorHAnsi"/>
                <w:color w:val="FFFFFF" w:themeColor="background1"/>
              </w:rPr>
            </w:pPr>
            <w:r w:rsidRPr="00162A57">
              <w:rPr>
                <w:rFonts w:cstheme="minorHAnsi"/>
              </w:rPr>
              <w:t>-0.9%</w:t>
            </w:r>
          </w:p>
        </w:tc>
      </w:tr>
      <w:tr w:rsidR="00EB49AC" w:rsidRPr="00162A57" w14:paraId="36D693C6" w14:textId="77777777" w:rsidTr="00A25A48">
        <w:trPr>
          <w:trHeight w:val="288"/>
        </w:trPr>
        <w:tc>
          <w:tcPr>
            <w:tcW w:w="1456"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9CB8531" w14:textId="60EFD6AA" w:rsidR="00EB49AC" w:rsidRPr="00162A57" w:rsidRDefault="00EB49AC" w:rsidP="00EB49AC">
            <w:pPr>
              <w:spacing w:line="252" w:lineRule="auto"/>
              <w:ind w:left="62" w:right="100"/>
              <w:rPr>
                <w:rFonts w:cstheme="minorHAnsi"/>
              </w:rPr>
            </w:pPr>
            <w:r w:rsidRPr="00162A57">
              <w:rPr>
                <w:rFonts w:cstheme="minorHAnsi"/>
              </w:rPr>
              <w:t>Waukesha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1FC18C9C" w14:textId="48576B3A" w:rsidR="00EB49AC" w:rsidRPr="00162A57" w:rsidRDefault="00EB49AC" w:rsidP="00EB49AC">
            <w:pPr>
              <w:spacing w:line="252" w:lineRule="auto"/>
              <w:ind w:left="44" w:right="62"/>
              <w:rPr>
                <w:rFonts w:cstheme="minorHAnsi"/>
              </w:rPr>
            </w:pPr>
            <w:r w:rsidRPr="00162A57">
              <w:rPr>
                <w:rFonts w:cstheme="minorHAnsi"/>
              </w:rPr>
              <w:t>4</w:t>
            </w:r>
            <w:r w:rsidR="00162A57">
              <w:rPr>
                <w:rFonts w:cstheme="minorHAnsi"/>
              </w:rPr>
              <w:t>,</w:t>
            </w:r>
            <w:r w:rsidRPr="00162A57">
              <w:rPr>
                <w:rFonts w:cstheme="minorHAnsi"/>
              </w:rPr>
              <w:t>646</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5F3BEE0C" w14:textId="48FB6CBD" w:rsidR="00EB49AC" w:rsidRPr="00162A57" w:rsidRDefault="00EB49AC" w:rsidP="00EB49AC">
            <w:pPr>
              <w:spacing w:line="252" w:lineRule="auto"/>
              <w:ind w:right="-23"/>
              <w:rPr>
                <w:rFonts w:cstheme="minorHAnsi"/>
              </w:rPr>
            </w:pPr>
            <w:r w:rsidRPr="00162A57">
              <w:rPr>
                <w:rFonts w:cstheme="minorHAnsi"/>
              </w:rPr>
              <w:t>4</w:t>
            </w:r>
            <w:r w:rsidR="00162A57">
              <w:rPr>
                <w:rFonts w:cstheme="minorHAnsi"/>
              </w:rPr>
              <w:t>,</w:t>
            </w:r>
            <w:r w:rsidRPr="00162A57">
              <w:rPr>
                <w:rFonts w:cstheme="minorHAnsi"/>
              </w:rPr>
              <w:t>726</w:t>
            </w:r>
          </w:p>
        </w:tc>
        <w:tc>
          <w:tcPr>
            <w:tcW w:w="1124" w:type="dxa"/>
            <w:gridSpan w:val="3"/>
            <w:tcBorders>
              <w:top w:val="nil"/>
              <w:left w:val="nil"/>
              <w:bottom w:val="nil"/>
              <w:right w:val="nil"/>
            </w:tcBorders>
            <w:shd w:val="clear" w:color="auto" w:fill="DEEAF6" w:themeFill="accent1" w:themeFillTint="33"/>
            <w:vAlign w:val="center"/>
          </w:tcPr>
          <w:p w14:paraId="1928371A" w14:textId="4E527323" w:rsidR="00EB49AC" w:rsidRPr="00162A57" w:rsidRDefault="00EB49AC" w:rsidP="00EB49AC">
            <w:pPr>
              <w:spacing w:line="252" w:lineRule="auto"/>
              <w:ind w:right="270"/>
              <w:jc w:val="right"/>
              <w:rPr>
                <w:rFonts w:cstheme="minorHAnsi"/>
              </w:rPr>
            </w:pPr>
            <w:r w:rsidRPr="00162A57">
              <w:rPr>
                <w:rFonts w:cstheme="minorHAnsi"/>
              </w:rPr>
              <w:t>1.7%</w:t>
            </w:r>
          </w:p>
        </w:tc>
      </w:tr>
      <w:tr w:rsidR="00EB49AC" w:rsidRPr="00162A57" w14:paraId="2B50F894" w14:textId="77777777" w:rsidTr="00A25A48">
        <w:trPr>
          <w:trHeight w:val="288"/>
        </w:trPr>
        <w:tc>
          <w:tcPr>
            <w:tcW w:w="1456" w:type="dxa"/>
            <w:gridSpan w:val="2"/>
            <w:tcBorders>
              <w:top w:val="nil"/>
              <w:left w:val="nil"/>
              <w:bottom w:val="nil"/>
              <w:right w:val="nil"/>
            </w:tcBorders>
            <w:shd w:val="clear" w:color="auto" w:fill="auto"/>
            <w:tcMar>
              <w:top w:w="0" w:type="dxa"/>
              <w:left w:w="108" w:type="dxa"/>
              <w:bottom w:w="0" w:type="dxa"/>
              <w:right w:w="108" w:type="dxa"/>
            </w:tcMar>
            <w:vAlign w:val="center"/>
          </w:tcPr>
          <w:p w14:paraId="768D8ACB" w14:textId="5C5D1171" w:rsidR="00EB49AC" w:rsidRPr="00162A57" w:rsidRDefault="00EB49AC" w:rsidP="00EB49AC">
            <w:pPr>
              <w:spacing w:line="252" w:lineRule="auto"/>
              <w:ind w:left="62" w:right="100"/>
              <w:rPr>
                <w:rFonts w:cstheme="minorHAnsi"/>
              </w:rPr>
            </w:pPr>
            <w:r w:rsidRPr="00162A57">
              <w:rPr>
                <w:rFonts w:cstheme="minorHAnsi"/>
              </w:rPr>
              <w:t>Washington</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bottom"/>
          </w:tcPr>
          <w:p w14:paraId="2F128063" w14:textId="5CB96DBB" w:rsidR="00EB49AC" w:rsidRPr="00162A57" w:rsidRDefault="00EB49AC" w:rsidP="00EB49AC">
            <w:pPr>
              <w:spacing w:line="252" w:lineRule="auto"/>
              <w:ind w:left="44" w:right="62"/>
              <w:rPr>
                <w:rFonts w:cstheme="minorHAnsi"/>
              </w:rPr>
            </w:pPr>
            <w:r w:rsidRPr="00162A57">
              <w:rPr>
                <w:rFonts w:cstheme="minorHAnsi"/>
              </w:rPr>
              <w:t>1</w:t>
            </w:r>
            <w:r w:rsidR="00162A57">
              <w:rPr>
                <w:rFonts w:cstheme="minorHAnsi"/>
              </w:rPr>
              <w:t>,</w:t>
            </w:r>
            <w:r w:rsidRPr="00162A57">
              <w:rPr>
                <w:rFonts w:cstheme="minorHAnsi"/>
              </w:rPr>
              <w:t>557</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bottom"/>
          </w:tcPr>
          <w:p w14:paraId="73D42C81" w14:textId="5FC94F7E" w:rsidR="00EB49AC" w:rsidRPr="00162A57" w:rsidRDefault="00EB49AC" w:rsidP="00EB49AC">
            <w:pPr>
              <w:spacing w:line="252" w:lineRule="auto"/>
              <w:ind w:right="-23"/>
              <w:rPr>
                <w:rFonts w:cstheme="minorHAnsi"/>
              </w:rPr>
            </w:pPr>
            <w:r w:rsidRPr="00162A57">
              <w:rPr>
                <w:rFonts w:cstheme="minorHAnsi"/>
              </w:rPr>
              <w:t>1</w:t>
            </w:r>
            <w:r w:rsidR="00162A57">
              <w:rPr>
                <w:rFonts w:cstheme="minorHAnsi"/>
              </w:rPr>
              <w:t>,</w:t>
            </w:r>
            <w:r w:rsidRPr="00162A57">
              <w:rPr>
                <w:rFonts w:cstheme="minorHAnsi"/>
              </w:rPr>
              <w:t>568</w:t>
            </w:r>
          </w:p>
        </w:tc>
        <w:tc>
          <w:tcPr>
            <w:tcW w:w="1124" w:type="dxa"/>
            <w:gridSpan w:val="3"/>
            <w:tcBorders>
              <w:top w:val="nil"/>
              <w:left w:val="nil"/>
              <w:bottom w:val="nil"/>
              <w:right w:val="nil"/>
            </w:tcBorders>
            <w:shd w:val="clear" w:color="auto" w:fill="auto"/>
            <w:vAlign w:val="center"/>
          </w:tcPr>
          <w:p w14:paraId="2DBC4933" w14:textId="1C937C77" w:rsidR="00EB49AC" w:rsidRPr="00162A57" w:rsidRDefault="00EB49AC" w:rsidP="00EB49AC">
            <w:pPr>
              <w:spacing w:line="252" w:lineRule="auto"/>
              <w:ind w:right="270"/>
              <w:jc w:val="right"/>
              <w:rPr>
                <w:rFonts w:cstheme="minorHAnsi"/>
              </w:rPr>
            </w:pPr>
            <w:r w:rsidRPr="00162A57">
              <w:rPr>
                <w:rFonts w:cstheme="minorHAnsi"/>
              </w:rPr>
              <w:t>0.7%</w:t>
            </w:r>
          </w:p>
        </w:tc>
      </w:tr>
      <w:tr w:rsidR="00EB49AC" w:rsidRPr="00162A57" w14:paraId="1FA9B4EA" w14:textId="77777777" w:rsidTr="00A25A48">
        <w:trPr>
          <w:trHeight w:val="288"/>
        </w:trPr>
        <w:tc>
          <w:tcPr>
            <w:tcW w:w="1456"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5C93C530" w14:textId="4C8E4A47" w:rsidR="00EB49AC" w:rsidRPr="00162A57" w:rsidRDefault="00EB49AC" w:rsidP="00EB49AC">
            <w:pPr>
              <w:spacing w:line="252" w:lineRule="auto"/>
              <w:ind w:left="62" w:right="100"/>
              <w:rPr>
                <w:rFonts w:cstheme="minorHAnsi"/>
              </w:rPr>
            </w:pPr>
            <w:r w:rsidRPr="00162A57">
              <w:rPr>
                <w:rFonts w:cstheme="minorHAnsi"/>
              </w:rPr>
              <w:t>Ozaukee</w:t>
            </w:r>
          </w:p>
        </w:tc>
        <w:tc>
          <w:tcPr>
            <w:tcW w:w="935"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bottom"/>
          </w:tcPr>
          <w:p w14:paraId="2C00B561" w14:textId="50B37AB8" w:rsidR="00EB49AC" w:rsidRPr="00162A57" w:rsidRDefault="00EB49AC" w:rsidP="00EB49AC">
            <w:pPr>
              <w:spacing w:line="252" w:lineRule="auto"/>
              <w:ind w:left="44" w:right="62"/>
              <w:rPr>
                <w:rFonts w:cstheme="minorHAnsi"/>
              </w:rPr>
            </w:pPr>
            <w:r w:rsidRPr="00162A57">
              <w:rPr>
                <w:rFonts w:cstheme="minorHAnsi"/>
              </w:rPr>
              <w:t>1</w:t>
            </w:r>
            <w:r w:rsidR="00162A57">
              <w:rPr>
                <w:rFonts w:cstheme="minorHAnsi"/>
              </w:rPr>
              <w:t>,</w:t>
            </w:r>
            <w:r w:rsidRPr="00162A57">
              <w:rPr>
                <w:rFonts w:cstheme="minorHAnsi"/>
              </w:rPr>
              <w:t>054</w:t>
            </w:r>
          </w:p>
        </w:tc>
        <w:tc>
          <w:tcPr>
            <w:tcW w:w="829" w:type="dxa"/>
            <w:gridSpan w:val="2"/>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bottom"/>
          </w:tcPr>
          <w:p w14:paraId="323B1624" w14:textId="1077D23E" w:rsidR="00EB49AC" w:rsidRPr="00162A57" w:rsidRDefault="00EB49AC" w:rsidP="00EB49AC">
            <w:pPr>
              <w:spacing w:line="252" w:lineRule="auto"/>
              <w:ind w:right="-23"/>
              <w:rPr>
                <w:rFonts w:cstheme="minorHAnsi"/>
              </w:rPr>
            </w:pPr>
            <w:r w:rsidRPr="00162A57">
              <w:rPr>
                <w:rFonts w:cstheme="minorHAnsi"/>
              </w:rPr>
              <w:t>1</w:t>
            </w:r>
            <w:r w:rsidR="00162A57">
              <w:rPr>
                <w:rFonts w:cstheme="minorHAnsi"/>
              </w:rPr>
              <w:t>,</w:t>
            </w:r>
            <w:r w:rsidRPr="00162A57">
              <w:rPr>
                <w:rFonts w:cstheme="minorHAnsi"/>
              </w:rPr>
              <w:t>091</w:t>
            </w:r>
          </w:p>
        </w:tc>
        <w:tc>
          <w:tcPr>
            <w:tcW w:w="1124" w:type="dxa"/>
            <w:gridSpan w:val="3"/>
            <w:tcBorders>
              <w:top w:val="nil"/>
              <w:left w:val="nil"/>
              <w:bottom w:val="nil"/>
              <w:right w:val="nil"/>
            </w:tcBorders>
            <w:shd w:val="clear" w:color="auto" w:fill="DEEAF6" w:themeFill="accent1" w:themeFillTint="33"/>
            <w:vAlign w:val="center"/>
          </w:tcPr>
          <w:p w14:paraId="1FCD3CFF" w14:textId="1B087426" w:rsidR="00EB49AC" w:rsidRPr="00162A57" w:rsidRDefault="00EB49AC" w:rsidP="00EB49AC">
            <w:pPr>
              <w:spacing w:line="252" w:lineRule="auto"/>
              <w:ind w:right="270"/>
              <w:jc w:val="right"/>
              <w:rPr>
                <w:rFonts w:cstheme="minorHAnsi"/>
              </w:rPr>
            </w:pPr>
            <w:r w:rsidRPr="00162A57">
              <w:rPr>
                <w:rFonts w:cstheme="minorHAnsi"/>
              </w:rPr>
              <w:t>3.5%</w:t>
            </w:r>
          </w:p>
        </w:tc>
      </w:tr>
      <w:tr w:rsidR="00A761D3" w:rsidRPr="00162A57" w14:paraId="2E6DFA43" w14:textId="77777777" w:rsidTr="00A25A48">
        <w:trPr>
          <w:trHeight w:val="288"/>
        </w:trPr>
        <w:tc>
          <w:tcPr>
            <w:tcW w:w="1456"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76A61B1E" w14:textId="4C26A685" w:rsidR="00A761D3" w:rsidRPr="00162A57" w:rsidRDefault="00A761D3" w:rsidP="00A761D3">
            <w:pPr>
              <w:spacing w:line="252" w:lineRule="auto"/>
              <w:ind w:left="62" w:right="100"/>
              <w:rPr>
                <w:rFonts w:cstheme="minorHAnsi"/>
              </w:rPr>
            </w:pPr>
            <w:r w:rsidRPr="00162A57">
              <w:rPr>
                <w:rFonts w:cstheme="minorHAnsi"/>
              </w:rPr>
              <w:t>Metro Area</w:t>
            </w:r>
          </w:p>
        </w:tc>
        <w:tc>
          <w:tcPr>
            <w:tcW w:w="935"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5D6B43D6" w14:textId="2ABDD5D2" w:rsidR="00A761D3" w:rsidRPr="00162A57" w:rsidRDefault="00162A57" w:rsidP="00A761D3">
            <w:pPr>
              <w:spacing w:line="252" w:lineRule="auto"/>
              <w:ind w:left="44" w:right="62"/>
              <w:rPr>
                <w:rFonts w:cstheme="minorHAnsi"/>
              </w:rPr>
            </w:pPr>
            <w:r>
              <w:rPr>
                <w:rFonts w:cstheme="minorHAnsi"/>
              </w:rPr>
              <w:t>16,162</w:t>
            </w:r>
          </w:p>
        </w:tc>
        <w:tc>
          <w:tcPr>
            <w:tcW w:w="829" w:type="dxa"/>
            <w:gridSpan w:val="2"/>
            <w:tcBorders>
              <w:top w:val="single" w:sz="4" w:space="0" w:color="auto"/>
              <w:left w:val="nil"/>
              <w:bottom w:val="nil"/>
              <w:right w:val="nil"/>
            </w:tcBorders>
            <w:shd w:val="clear" w:color="auto" w:fill="auto"/>
            <w:tcMar>
              <w:top w:w="0" w:type="dxa"/>
              <w:left w:w="108" w:type="dxa"/>
              <w:bottom w:w="0" w:type="dxa"/>
              <w:right w:w="108" w:type="dxa"/>
            </w:tcMar>
            <w:vAlign w:val="center"/>
          </w:tcPr>
          <w:p w14:paraId="77163EFB" w14:textId="2E91A973" w:rsidR="00A761D3" w:rsidRPr="00162A57" w:rsidRDefault="00162A57" w:rsidP="00A761D3">
            <w:pPr>
              <w:spacing w:line="252" w:lineRule="auto"/>
              <w:ind w:right="-23"/>
              <w:rPr>
                <w:rFonts w:cstheme="minorHAnsi"/>
              </w:rPr>
            </w:pPr>
            <w:r>
              <w:rPr>
                <w:rFonts w:cstheme="minorHAnsi"/>
              </w:rPr>
              <w:t>16,209</w:t>
            </w:r>
          </w:p>
        </w:tc>
        <w:tc>
          <w:tcPr>
            <w:tcW w:w="1124" w:type="dxa"/>
            <w:gridSpan w:val="3"/>
            <w:tcBorders>
              <w:top w:val="nil"/>
              <w:left w:val="nil"/>
              <w:bottom w:val="nil"/>
              <w:right w:val="nil"/>
            </w:tcBorders>
            <w:shd w:val="clear" w:color="auto" w:fill="auto"/>
            <w:vAlign w:val="center"/>
          </w:tcPr>
          <w:p w14:paraId="2B7B2603" w14:textId="61DE823D" w:rsidR="00A761D3" w:rsidRPr="00162A57" w:rsidRDefault="00162A57" w:rsidP="00A761D3">
            <w:pPr>
              <w:spacing w:line="252" w:lineRule="auto"/>
              <w:ind w:right="270"/>
              <w:jc w:val="right"/>
              <w:rPr>
                <w:rFonts w:cstheme="minorHAnsi"/>
              </w:rPr>
            </w:pPr>
            <w:r>
              <w:rPr>
                <w:rFonts w:cstheme="minorHAnsi"/>
              </w:rPr>
              <w:t>0.3</w:t>
            </w:r>
            <w:r w:rsidR="00A761D3" w:rsidRPr="00162A57">
              <w:rPr>
                <w:rFonts w:cstheme="minorHAnsi"/>
              </w:rPr>
              <w:t>%</w:t>
            </w:r>
          </w:p>
        </w:tc>
      </w:tr>
      <w:tr w:rsidR="00A761D3" w:rsidRPr="00162A57" w14:paraId="18FDFCAA" w14:textId="77777777" w:rsidTr="00A25A48">
        <w:trPr>
          <w:gridAfter w:val="1"/>
          <w:wAfter w:w="6" w:type="dxa"/>
          <w:trHeight w:val="80"/>
        </w:trPr>
        <w:tc>
          <w:tcPr>
            <w:tcW w:w="4338" w:type="dxa"/>
            <w:gridSpan w:val="8"/>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281A6E16" w14:textId="77777777" w:rsidR="00A761D3" w:rsidRPr="00162A57" w:rsidRDefault="00A761D3" w:rsidP="00A761D3">
            <w:pPr>
              <w:spacing w:line="252" w:lineRule="auto"/>
              <w:ind w:right="270"/>
              <w:rPr>
                <w:rFonts w:cstheme="minorHAnsi"/>
                <w:sz w:val="10"/>
                <w:szCs w:val="10"/>
              </w:rPr>
            </w:pPr>
          </w:p>
        </w:tc>
      </w:tr>
      <w:tr w:rsidR="00EB49AC" w:rsidRPr="00162A57" w14:paraId="6AB987CC" w14:textId="77777777" w:rsidTr="00A25A48">
        <w:trPr>
          <w:trHeight w:val="288"/>
        </w:trPr>
        <w:tc>
          <w:tcPr>
            <w:tcW w:w="1456" w:type="dxa"/>
            <w:gridSpan w:val="2"/>
            <w:tcBorders>
              <w:top w:val="nil"/>
              <w:left w:val="nil"/>
              <w:bottom w:val="nil"/>
              <w:right w:val="nil"/>
            </w:tcBorders>
            <w:shd w:val="clear" w:color="auto" w:fill="auto"/>
            <w:tcMar>
              <w:top w:w="0" w:type="dxa"/>
              <w:left w:w="108" w:type="dxa"/>
              <w:bottom w:w="0" w:type="dxa"/>
              <w:right w:w="108" w:type="dxa"/>
            </w:tcMar>
            <w:vAlign w:val="center"/>
          </w:tcPr>
          <w:p w14:paraId="76A56C1D" w14:textId="6A9B91EC" w:rsidR="00EB49AC" w:rsidRPr="00162A57" w:rsidRDefault="00EB49AC" w:rsidP="00EB49AC">
            <w:pPr>
              <w:spacing w:line="252" w:lineRule="auto"/>
              <w:ind w:left="62" w:right="100"/>
              <w:rPr>
                <w:rFonts w:cstheme="minorHAnsi"/>
              </w:rPr>
            </w:pPr>
            <w:r w:rsidRPr="00162A57">
              <w:rPr>
                <w:rFonts w:cstheme="minorHAnsi"/>
              </w:rPr>
              <w:t>Racine</w:t>
            </w:r>
          </w:p>
        </w:tc>
        <w:tc>
          <w:tcPr>
            <w:tcW w:w="935" w:type="dxa"/>
            <w:gridSpan w:val="2"/>
            <w:tcBorders>
              <w:top w:val="nil"/>
              <w:left w:val="nil"/>
              <w:bottom w:val="nil"/>
              <w:right w:val="nil"/>
            </w:tcBorders>
            <w:shd w:val="clear" w:color="auto" w:fill="auto"/>
            <w:tcMar>
              <w:top w:w="0" w:type="dxa"/>
              <w:left w:w="108" w:type="dxa"/>
              <w:bottom w:w="0" w:type="dxa"/>
              <w:right w:w="108" w:type="dxa"/>
            </w:tcMar>
            <w:vAlign w:val="bottom"/>
          </w:tcPr>
          <w:p w14:paraId="43318FCB" w14:textId="0CAAD036" w:rsidR="00EB49AC" w:rsidRPr="00162A57" w:rsidRDefault="00EB49AC" w:rsidP="00EB49AC">
            <w:pPr>
              <w:spacing w:line="252" w:lineRule="auto"/>
              <w:ind w:left="44" w:right="62"/>
              <w:rPr>
                <w:rFonts w:cstheme="minorHAnsi"/>
              </w:rPr>
            </w:pPr>
            <w:r w:rsidRPr="00162A57">
              <w:rPr>
                <w:rFonts w:cstheme="minorHAnsi"/>
              </w:rPr>
              <w:t>2</w:t>
            </w:r>
            <w:r w:rsidR="00162A57">
              <w:rPr>
                <w:rFonts w:cstheme="minorHAnsi"/>
              </w:rPr>
              <w:t>,</w:t>
            </w:r>
            <w:r w:rsidRPr="00162A57">
              <w:rPr>
                <w:rFonts w:cstheme="minorHAnsi"/>
              </w:rPr>
              <w:t>150</w:t>
            </w:r>
          </w:p>
        </w:tc>
        <w:tc>
          <w:tcPr>
            <w:tcW w:w="829" w:type="dxa"/>
            <w:gridSpan w:val="2"/>
            <w:tcBorders>
              <w:top w:val="nil"/>
              <w:left w:val="nil"/>
              <w:bottom w:val="nil"/>
              <w:right w:val="nil"/>
            </w:tcBorders>
            <w:shd w:val="clear" w:color="auto" w:fill="auto"/>
            <w:tcMar>
              <w:top w:w="0" w:type="dxa"/>
              <w:left w:w="108" w:type="dxa"/>
              <w:bottom w:w="0" w:type="dxa"/>
              <w:right w:w="108" w:type="dxa"/>
            </w:tcMar>
            <w:vAlign w:val="bottom"/>
          </w:tcPr>
          <w:p w14:paraId="5F6630F1" w14:textId="172AF7E1" w:rsidR="00EB49AC" w:rsidRPr="00162A57" w:rsidRDefault="00EB49AC" w:rsidP="00EB49AC">
            <w:pPr>
              <w:spacing w:line="252" w:lineRule="auto"/>
              <w:ind w:right="-23"/>
              <w:rPr>
                <w:rFonts w:cstheme="minorHAnsi"/>
              </w:rPr>
            </w:pPr>
            <w:r w:rsidRPr="00162A57">
              <w:rPr>
                <w:rFonts w:cstheme="minorHAnsi"/>
              </w:rPr>
              <w:t>2</w:t>
            </w:r>
            <w:r w:rsidR="00162A57">
              <w:rPr>
                <w:rFonts w:cstheme="minorHAnsi"/>
              </w:rPr>
              <w:t>,</w:t>
            </w:r>
            <w:r w:rsidRPr="00162A57">
              <w:rPr>
                <w:rFonts w:cstheme="minorHAnsi"/>
              </w:rPr>
              <w:t>190</w:t>
            </w:r>
          </w:p>
        </w:tc>
        <w:tc>
          <w:tcPr>
            <w:tcW w:w="1124" w:type="dxa"/>
            <w:gridSpan w:val="3"/>
            <w:tcBorders>
              <w:top w:val="nil"/>
              <w:left w:val="nil"/>
              <w:bottom w:val="nil"/>
              <w:right w:val="nil"/>
            </w:tcBorders>
            <w:shd w:val="clear" w:color="auto" w:fill="auto"/>
            <w:vAlign w:val="center"/>
          </w:tcPr>
          <w:p w14:paraId="6E70715A" w14:textId="2E7BF8FD" w:rsidR="00EB49AC" w:rsidRPr="00162A57" w:rsidRDefault="00EB49AC" w:rsidP="00EB49AC">
            <w:pPr>
              <w:spacing w:line="252" w:lineRule="auto"/>
              <w:ind w:right="270"/>
              <w:jc w:val="right"/>
              <w:rPr>
                <w:rFonts w:cstheme="minorHAnsi"/>
              </w:rPr>
            </w:pPr>
            <w:r w:rsidRPr="00162A57">
              <w:rPr>
                <w:rFonts w:cstheme="minorHAnsi"/>
              </w:rPr>
              <w:t>1.9%</w:t>
            </w:r>
          </w:p>
        </w:tc>
      </w:tr>
      <w:tr w:rsidR="00EB49AC" w:rsidRPr="00162A57" w14:paraId="23FBE151" w14:textId="77777777" w:rsidTr="00A25A48">
        <w:trPr>
          <w:trHeight w:val="288"/>
        </w:trPr>
        <w:tc>
          <w:tcPr>
            <w:tcW w:w="1456"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78B20572" w14:textId="10FF94F4" w:rsidR="00EB49AC" w:rsidRPr="00162A57" w:rsidRDefault="00EB49AC" w:rsidP="00EB49AC">
            <w:pPr>
              <w:spacing w:line="252" w:lineRule="auto"/>
              <w:ind w:left="62" w:right="100"/>
              <w:rPr>
                <w:rFonts w:cstheme="minorHAnsi"/>
              </w:rPr>
            </w:pPr>
            <w:r w:rsidRPr="00162A57">
              <w:rPr>
                <w:rFonts w:cstheme="minorHAnsi"/>
              </w:rPr>
              <w:t>Kenosha</w:t>
            </w:r>
          </w:p>
        </w:tc>
        <w:tc>
          <w:tcPr>
            <w:tcW w:w="935"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6087DC80" w14:textId="24CAA1B8" w:rsidR="00EB49AC" w:rsidRPr="00162A57" w:rsidRDefault="00EB49AC" w:rsidP="00EB49AC">
            <w:pPr>
              <w:spacing w:line="252" w:lineRule="auto"/>
              <w:ind w:left="44" w:right="62"/>
              <w:rPr>
                <w:rFonts w:cstheme="minorHAnsi"/>
              </w:rPr>
            </w:pPr>
            <w:r w:rsidRPr="00162A57">
              <w:rPr>
                <w:rFonts w:cstheme="minorHAnsi"/>
              </w:rPr>
              <w:t>1</w:t>
            </w:r>
            <w:r w:rsidR="00162A57">
              <w:rPr>
                <w:rFonts w:cstheme="minorHAnsi"/>
              </w:rPr>
              <w:t>,</w:t>
            </w:r>
            <w:r w:rsidRPr="00162A57">
              <w:rPr>
                <w:rFonts w:cstheme="minorHAnsi"/>
              </w:rPr>
              <w:t>857</w:t>
            </w:r>
          </w:p>
        </w:tc>
        <w:tc>
          <w:tcPr>
            <w:tcW w:w="829" w:type="dxa"/>
            <w:gridSpan w:val="2"/>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5722FE87" w14:textId="66743798" w:rsidR="00EB49AC" w:rsidRPr="00162A57" w:rsidRDefault="00EB49AC" w:rsidP="00EB49AC">
            <w:pPr>
              <w:spacing w:line="252" w:lineRule="auto"/>
              <w:ind w:right="-23"/>
              <w:rPr>
                <w:rFonts w:cstheme="minorHAnsi"/>
              </w:rPr>
            </w:pPr>
            <w:r w:rsidRPr="00162A57">
              <w:rPr>
                <w:rFonts w:cstheme="minorHAnsi"/>
              </w:rPr>
              <w:t>1</w:t>
            </w:r>
            <w:r w:rsidR="00162A57">
              <w:rPr>
                <w:rFonts w:cstheme="minorHAnsi"/>
              </w:rPr>
              <w:t>,</w:t>
            </w:r>
            <w:r w:rsidRPr="00162A57">
              <w:rPr>
                <w:rFonts w:cstheme="minorHAnsi"/>
              </w:rPr>
              <w:t>819</w:t>
            </w:r>
          </w:p>
        </w:tc>
        <w:tc>
          <w:tcPr>
            <w:tcW w:w="1124" w:type="dxa"/>
            <w:gridSpan w:val="3"/>
            <w:tcBorders>
              <w:top w:val="nil"/>
              <w:left w:val="nil"/>
              <w:bottom w:val="nil"/>
              <w:right w:val="nil"/>
            </w:tcBorders>
            <w:shd w:val="clear" w:color="auto" w:fill="DEEAF6" w:themeFill="accent1" w:themeFillTint="33"/>
            <w:vAlign w:val="center"/>
          </w:tcPr>
          <w:p w14:paraId="748B6DB0" w14:textId="547FB7D1" w:rsidR="00EB49AC" w:rsidRPr="00162A57" w:rsidRDefault="00EB49AC" w:rsidP="00EB49AC">
            <w:pPr>
              <w:spacing w:line="252" w:lineRule="auto"/>
              <w:ind w:right="270"/>
              <w:jc w:val="right"/>
              <w:rPr>
                <w:rFonts w:cstheme="minorHAnsi"/>
              </w:rPr>
            </w:pPr>
            <w:r w:rsidRPr="00162A57">
              <w:rPr>
                <w:rFonts w:cstheme="minorHAnsi"/>
              </w:rPr>
              <w:t>-2.0%</w:t>
            </w:r>
          </w:p>
        </w:tc>
      </w:tr>
      <w:tr w:rsidR="00EB49AC" w:rsidRPr="00162A57" w14:paraId="3BABF51A" w14:textId="77777777" w:rsidTr="00A25A48">
        <w:trPr>
          <w:trHeight w:val="288"/>
        </w:trPr>
        <w:tc>
          <w:tcPr>
            <w:tcW w:w="1456" w:type="dxa"/>
            <w:gridSpan w:val="2"/>
            <w:tcBorders>
              <w:top w:val="nil"/>
              <w:left w:val="nil"/>
              <w:bottom w:val="single" w:sz="4" w:space="0" w:color="auto"/>
              <w:right w:val="nil"/>
            </w:tcBorders>
            <w:shd w:val="clear" w:color="auto" w:fill="auto"/>
            <w:tcMar>
              <w:top w:w="0" w:type="dxa"/>
              <w:left w:w="108" w:type="dxa"/>
              <w:bottom w:w="0" w:type="dxa"/>
              <w:right w:w="108" w:type="dxa"/>
            </w:tcMar>
            <w:vAlign w:val="center"/>
          </w:tcPr>
          <w:p w14:paraId="7CF821BD" w14:textId="4EE6C561" w:rsidR="00EB49AC" w:rsidRPr="00162A57" w:rsidRDefault="00EB49AC" w:rsidP="00EB49AC">
            <w:pPr>
              <w:spacing w:line="252" w:lineRule="auto"/>
              <w:ind w:left="62" w:right="100"/>
              <w:rPr>
                <w:rFonts w:cstheme="minorHAnsi"/>
              </w:rPr>
            </w:pPr>
            <w:r w:rsidRPr="00162A57">
              <w:rPr>
                <w:rFonts w:cstheme="minorHAnsi"/>
              </w:rPr>
              <w:t>Walworth</w:t>
            </w:r>
          </w:p>
        </w:tc>
        <w:tc>
          <w:tcPr>
            <w:tcW w:w="935" w:type="dxa"/>
            <w:gridSpan w:val="2"/>
            <w:tcBorders>
              <w:top w:val="nil"/>
              <w:left w:val="nil"/>
              <w:bottom w:val="single" w:sz="4" w:space="0" w:color="auto"/>
              <w:right w:val="nil"/>
            </w:tcBorders>
            <w:shd w:val="clear" w:color="auto" w:fill="auto"/>
            <w:tcMar>
              <w:top w:w="0" w:type="dxa"/>
              <w:left w:w="108" w:type="dxa"/>
              <w:bottom w:w="0" w:type="dxa"/>
              <w:right w:w="108" w:type="dxa"/>
            </w:tcMar>
          </w:tcPr>
          <w:p w14:paraId="56334D04" w14:textId="0D161FB2" w:rsidR="00EB49AC" w:rsidRPr="00162A57" w:rsidRDefault="00EB49AC" w:rsidP="00EB49AC">
            <w:pPr>
              <w:spacing w:line="252" w:lineRule="auto"/>
              <w:ind w:left="44" w:right="62"/>
              <w:rPr>
                <w:rFonts w:cstheme="minorHAnsi"/>
              </w:rPr>
            </w:pPr>
            <w:r w:rsidRPr="00162A57">
              <w:rPr>
                <w:rFonts w:cstheme="minorHAnsi"/>
              </w:rPr>
              <w:t>1</w:t>
            </w:r>
            <w:r w:rsidR="00162A57">
              <w:rPr>
                <w:rFonts w:cstheme="minorHAnsi"/>
              </w:rPr>
              <w:t>,</w:t>
            </w:r>
            <w:r w:rsidRPr="00162A57">
              <w:rPr>
                <w:rFonts w:cstheme="minorHAnsi"/>
              </w:rPr>
              <w:t>431</w:t>
            </w:r>
          </w:p>
        </w:tc>
        <w:tc>
          <w:tcPr>
            <w:tcW w:w="829" w:type="dxa"/>
            <w:gridSpan w:val="2"/>
            <w:tcBorders>
              <w:top w:val="nil"/>
              <w:left w:val="nil"/>
              <w:bottom w:val="single" w:sz="4" w:space="0" w:color="auto"/>
              <w:right w:val="nil"/>
            </w:tcBorders>
            <w:shd w:val="clear" w:color="auto" w:fill="auto"/>
            <w:tcMar>
              <w:top w:w="0" w:type="dxa"/>
              <w:left w:w="108" w:type="dxa"/>
              <w:bottom w:w="0" w:type="dxa"/>
              <w:right w:w="108" w:type="dxa"/>
            </w:tcMar>
          </w:tcPr>
          <w:p w14:paraId="091E67F3" w14:textId="1385BFA7" w:rsidR="00EB49AC" w:rsidRPr="00162A57" w:rsidRDefault="00EB49AC" w:rsidP="00EB49AC">
            <w:pPr>
              <w:spacing w:line="252" w:lineRule="auto"/>
              <w:ind w:right="-23"/>
              <w:rPr>
                <w:rFonts w:cstheme="minorHAnsi"/>
              </w:rPr>
            </w:pPr>
            <w:r w:rsidRPr="00162A57">
              <w:rPr>
                <w:rFonts w:cstheme="minorHAnsi"/>
              </w:rPr>
              <w:t>1</w:t>
            </w:r>
            <w:r w:rsidR="00162A57">
              <w:rPr>
                <w:rFonts w:cstheme="minorHAnsi"/>
              </w:rPr>
              <w:t>,</w:t>
            </w:r>
            <w:r w:rsidRPr="00162A57">
              <w:rPr>
                <w:rFonts w:cstheme="minorHAnsi"/>
              </w:rPr>
              <w:t>452</w:t>
            </w:r>
          </w:p>
        </w:tc>
        <w:tc>
          <w:tcPr>
            <w:tcW w:w="1124" w:type="dxa"/>
            <w:gridSpan w:val="3"/>
            <w:tcBorders>
              <w:top w:val="nil"/>
              <w:left w:val="nil"/>
              <w:bottom w:val="nil"/>
              <w:right w:val="nil"/>
            </w:tcBorders>
            <w:shd w:val="clear" w:color="auto" w:fill="auto"/>
            <w:vAlign w:val="center"/>
          </w:tcPr>
          <w:p w14:paraId="6E86926B" w14:textId="53F8019C" w:rsidR="00EB49AC" w:rsidRPr="00162A57" w:rsidRDefault="00EB49AC" w:rsidP="00EB49AC">
            <w:pPr>
              <w:spacing w:line="252" w:lineRule="auto"/>
              <w:ind w:right="270"/>
              <w:jc w:val="right"/>
              <w:rPr>
                <w:rFonts w:cstheme="minorHAnsi"/>
              </w:rPr>
            </w:pPr>
            <w:r w:rsidRPr="00162A57">
              <w:rPr>
                <w:rFonts w:cstheme="minorHAnsi"/>
              </w:rPr>
              <w:t>1.5%</w:t>
            </w:r>
          </w:p>
        </w:tc>
      </w:tr>
      <w:tr w:rsidR="00A761D3" w:rsidRPr="00162A57" w14:paraId="19D49A74" w14:textId="77777777" w:rsidTr="00A25A48">
        <w:trPr>
          <w:trHeight w:val="288"/>
        </w:trPr>
        <w:tc>
          <w:tcPr>
            <w:tcW w:w="1456"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6BC1A4CA" w14:textId="2A2F6702" w:rsidR="00A761D3" w:rsidRPr="00162A57" w:rsidRDefault="00A761D3" w:rsidP="00A761D3">
            <w:pPr>
              <w:spacing w:line="252" w:lineRule="auto"/>
              <w:ind w:left="62" w:right="100"/>
              <w:rPr>
                <w:rFonts w:cstheme="minorHAnsi"/>
              </w:rPr>
            </w:pPr>
            <w:r w:rsidRPr="00162A57">
              <w:rPr>
                <w:rFonts w:cstheme="minorHAnsi"/>
              </w:rPr>
              <w:t>SE WI Area</w:t>
            </w:r>
          </w:p>
        </w:tc>
        <w:tc>
          <w:tcPr>
            <w:tcW w:w="935"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7EDBB804" w14:textId="12A72576" w:rsidR="00A761D3" w:rsidRPr="00162A57" w:rsidRDefault="00162A57" w:rsidP="00A761D3">
            <w:pPr>
              <w:spacing w:line="252" w:lineRule="auto"/>
              <w:ind w:left="44" w:right="62"/>
              <w:rPr>
                <w:rFonts w:cstheme="minorHAnsi"/>
              </w:rPr>
            </w:pPr>
            <w:r>
              <w:rPr>
                <w:rFonts w:cstheme="minorHAnsi"/>
              </w:rPr>
              <w:t>2</w:t>
            </w:r>
            <w:r w:rsidR="002C12CA" w:rsidRPr="00162A57">
              <w:rPr>
                <w:rFonts w:cstheme="minorHAnsi"/>
              </w:rPr>
              <w:t>1,</w:t>
            </w:r>
            <w:r>
              <w:rPr>
                <w:rFonts w:cstheme="minorHAnsi"/>
              </w:rPr>
              <w:t>600</w:t>
            </w:r>
          </w:p>
        </w:tc>
        <w:tc>
          <w:tcPr>
            <w:tcW w:w="829" w:type="dxa"/>
            <w:gridSpan w:val="2"/>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E2F5B2D" w14:textId="1BAE02E2" w:rsidR="00A761D3" w:rsidRPr="00162A57" w:rsidRDefault="002C12CA" w:rsidP="00A761D3">
            <w:pPr>
              <w:spacing w:line="252" w:lineRule="auto"/>
              <w:ind w:right="-23"/>
              <w:rPr>
                <w:rFonts w:cstheme="minorHAnsi"/>
              </w:rPr>
            </w:pPr>
            <w:r w:rsidRPr="00162A57">
              <w:rPr>
                <w:rFonts w:cstheme="minorHAnsi"/>
              </w:rPr>
              <w:t>2</w:t>
            </w:r>
            <w:r w:rsidR="00162A57">
              <w:rPr>
                <w:rFonts w:cstheme="minorHAnsi"/>
              </w:rPr>
              <w:t>1</w:t>
            </w:r>
            <w:r w:rsidRPr="00162A57">
              <w:rPr>
                <w:rFonts w:cstheme="minorHAnsi"/>
              </w:rPr>
              <w:t>,</w:t>
            </w:r>
            <w:r w:rsidR="00162A57">
              <w:rPr>
                <w:rFonts w:cstheme="minorHAnsi"/>
              </w:rPr>
              <w:t>670</w:t>
            </w:r>
          </w:p>
        </w:tc>
        <w:tc>
          <w:tcPr>
            <w:tcW w:w="1124" w:type="dxa"/>
            <w:gridSpan w:val="3"/>
            <w:tcBorders>
              <w:top w:val="nil"/>
              <w:left w:val="nil"/>
              <w:bottom w:val="nil"/>
              <w:right w:val="nil"/>
            </w:tcBorders>
            <w:shd w:val="clear" w:color="auto" w:fill="DEEAF6" w:themeFill="accent1" w:themeFillTint="33"/>
            <w:vAlign w:val="center"/>
          </w:tcPr>
          <w:p w14:paraId="09C9B294" w14:textId="658AE34A" w:rsidR="00A761D3" w:rsidRPr="00162A57" w:rsidRDefault="00162A57" w:rsidP="00A761D3">
            <w:pPr>
              <w:spacing w:line="252" w:lineRule="auto"/>
              <w:ind w:right="270"/>
              <w:jc w:val="right"/>
              <w:rPr>
                <w:rFonts w:cstheme="minorHAnsi"/>
              </w:rPr>
            </w:pPr>
            <w:r>
              <w:rPr>
                <w:rFonts w:cstheme="minorHAnsi"/>
              </w:rPr>
              <w:t>0</w:t>
            </w:r>
            <w:r w:rsidR="002C12CA" w:rsidRPr="00162A57">
              <w:rPr>
                <w:rFonts w:cstheme="minorHAnsi"/>
              </w:rPr>
              <w:t>.</w:t>
            </w:r>
            <w:r>
              <w:rPr>
                <w:rFonts w:cstheme="minorHAnsi"/>
              </w:rPr>
              <w:t>3</w:t>
            </w:r>
            <w:r w:rsidR="00A761D3" w:rsidRPr="00162A57">
              <w:rPr>
                <w:rFonts w:cstheme="minorHAnsi"/>
              </w:rPr>
              <w:t>%</w:t>
            </w:r>
          </w:p>
        </w:tc>
      </w:tr>
    </w:tbl>
    <w:p w14:paraId="7BBB7A81" w14:textId="3F83726D" w:rsidR="00D128E8" w:rsidRDefault="00FB5F93" w:rsidP="00D126F1">
      <w:pPr>
        <w:spacing w:before="120" w:after="120"/>
        <w:ind w:left="-360" w:right="-360"/>
        <w:contextualSpacing/>
      </w:pPr>
      <w:r>
        <w:t>September</w:t>
      </w:r>
      <w:r w:rsidR="00C16329">
        <w:t xml:space="preserve"> 1</w:t>
      </w:r>
      <w:r w:rsidR="00407D21">
        <w:t>4</w:t>
      </w:r>
      <w:r w:rsidR="00127EF0" w:rsidRPr="00CD4658">
        <w:t>, 20</w:t>
      </w:r>
      <w:r w:rsidR="00F34596">
        <w:t>20</w:t>
      </w:r>
      <w:r w:rsidR="00127EF0" w:rsidRPr="00CD4658">
        <w:t xml:space="preserve"> –</w:t>
      </w:r>
      <w:r w:rsidR="00C20959">
        <w:t xml:space="preserve"> </w:t>
      </w:r>
      <w:r w:rsidR="00946D4A">
        <w:t xml:space="preserve">With a stalled spring market, due to the onset of coronavirus, </w:t>
      </w:r>
      <w:r w:rsidR="00D128E8">
        <w:t>t</w:t>
      </w:r>
      <w:r w:rsidR="00C16329">
        <w:t xml:space="preserve">he </w:t>
      </w:r>
      <w:r w:rsidR="0043444E">
        <w:t>M</w:t>
      </w:r>
      <w:r w:rsidR="00C16329">
        <w:t xml:space="preserve">etropolitan Milwaukee real estate market </w:t>
      </w:r>
      <w:r w:rsidR="00946D4A">
        <w:t>ma</w:t>
      </w:r>
      <w:r w:rsidR="002156E5">
        <w:t>de</w:t>
      </w:r>
      <w:r w:rsidR="00946D4A">
        <w:t xml:space="preserve"> up for lost time. Sales in </w:t>
      </w:r>
      <w:r>
        <w:t>September</w:t>
      </w:r>
      <w:r w:rsidR="00946D4A">
        <w:t xml:space="preserve"> were up an astounding 28.2% </w:t>
      </w:r>
      <w:r w:rsidR="00D128E8">
        <w:t>in the 4</w:t>
      </w:r>
      <w:r w:rsidR="00BF05EC">
        <w:t>-</w:t>
      </w:r>
      <w:r w:rsidR="00D128E8">
        <w:t xml:space="preserve">county area, and </w:t>
      </w:r>
      <w:r w:rsidR="002156E5">
        <w:t xml:space="preserve">up 26.7% </w:t>
      </w:r>
      <w:r w:rsidR="00D128E8">
        <w:t xml:space="preserve">in </w:t>
      </w:r>
      <w:r w:rsidR="00BF05EC">
        <w:t>S</w:t>
      </w:r>
      <w:r w:rsidR="00D128E8">
        <w:t>outheastern Wisconsin.</w:t>
      </w:r>
    </w:p>
    <w:p w14:paraId="58748021" w14:textId="0979B178" w:rsidR="00D128E8" w:rsidRDefault="00D128E8" w:rsidP="00D126F1">
      <w:pPr>
        <w:spacing w:before="120" w:after="120"/>
        <w:ind w:left="-360" w:right="-360"/>
        <w:contextualSpacing/>
      </w:pPr>
    </w:p>
    <w:p w14:paraId="6EDDD125" w14:textId="47597C05" w:rsidR="002156E5" w:rsidRDefault="002156E5" w:rsidP="00D126F1">
      <w:pPr>
        <w:spacing w:before="120" w:after="120"/>
        <w:ind w:left="-360" w:right="-360"/>
        <w:contextualSpacing/>
      </w:pPr>
      <w:r>
        <w:t>In a more typical market, sales volume in the 4-county area would be under 2,000 units in September as buyers’ and sellers’ attention turns to a new school year, the Packers, or elsewhere.</w:t>
      </w:r>
    </w:p>
    <w:p w14:paraId="6CB2C973" w14:textId="11CFFFE6" w:rsidR="002156E5" w:rsidRDefault="002156E5" w:rsidP="00D126F1">
      <w:pPr>
        <w:spacing w:before="120" w:after="120"/>
        <w:ind w:left="-360" w:right="-360"/>
        <w:contextualSpacing/>
      </w:pPr>
    </w:p>
    <w:p w14:paraId="7F5EE51C" w14:textId="7F0C6B6A" w:rsidR="002156E5" w:rsidRDefault="00A25A48" w:rsidP="00D126F1">
      <w:pPr>
        <w:spacing w:before="120" w:after="120"/>
        <w:ind w:left="-360" w:right="-360"/>
        <w:contextualSpacing/>
      </w:pPr>
      <w:r>
        <w:rPr>
          <w:noProof/>
        </w:rPr>
        <mc:AlternateContent>
          <mc:Choice Requires="wps">
            <w:drawing>
              <wp:anchor distT="45720" distB="45720" distL="114300" distR="114300" simplePos="0" relativeHeight="251684864" behindDoc="0" locked="0" layoutInCell="1" allowOverlap="1" wp14:anchorId="7CF0A81E" wp14:editId="7F28E65D">
                <wp:simplePos x="0" y="0"/>
                <wp:positionH relativeFrom="column">
                  <wp:posOffset>3828415</wp:posOffset>
                </wp:positionH>
                <wp:positionV relativeFrom="paragraph">
                  <wp:posOffset>911225</wp:posOffset>
                </wp:positionV>
                <wp:extent cx="429260" cy="238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38125"/>
                        </a:xfrm>
                        <a:prstGeom prst="rect">
                          <a:avLst/>
                        </a:prstGeom>
                        <a:noFill/>
                        <a:ln w="9525">
                          <a:noFill/>
                          <a:miter lim="800000"/>
                          <a:headEnd/>
                          <a:tailEnd/>
                        </a:ln>
                      </wps:spPr>
                      <wps:txbx>
                        <w:txbxContent>
                          <w:p w14:paraId="5C593479" w14:textId="18FB9FB0" w:rsidR="00D34058" w:rsidRPr="004B1439" w:rsidRDefault="00D34058" w:rsidP="00BB55D6">
                            <w:pPr>
                              <w:shd w:val="clear" w:color="auto" w:fill="BDD6EE" w:themeFill="accent1" w:themeFillTint="66"/>
                              <w:rPr>
                                <w:sz w:val="18"/>
                                <w:szCs w:val="18"/>
                              </w:rPr>
                            </w:pPr>
                            <w:r w:rsidRPr="004B1439">
                              <w:rPr>
                                <w:sz w:val="18"/>
                                <w:szCs w:val="18"/>
                              </w:rPr>
                              <w:t>2019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F0A81E" id="_x0000_t202" coordsize="21600,21600" o:spt="202" path="m,l,21600r21600,l21600,xe">
                <v:stroke joinstyle="miter"/>
                <v:path gradientshapeok="t" o:connecttype="rect"/>
              </v:shapetype>
              <v:shape id="Text Box 2" o:spid="_x0000_s1027" type="#_x0000_t202" style="position:absolute;left:0;text-align:left;margin-left:301.45pt;margin-top:71.75pt;width:33.8pt;height:18.7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" filled="f" stroked="f">
                <v:textbox>
                  <w:txbxContent>
                    <w:p w14:paraId="5C593479" w14:textId="18FB9FB0" w:rsidR="00D34058" w:rsidRPr="004B1439" w:rsidRDefault="00D34058" w:rsidP="00BB55D6">
                      <w:pPr>
                        <w:shd w:val="clear" w:color="auto" w:fill="BDD6EE" w:themeFill="accent1" w:themeFillTint="66"/>
                        <w:rPr>
                          <w:sz w:val="18"/>
                          <w:szCs w:val="18"/>
                        </w:rPr>
                      </w:pPr>
                      <w:r w:rsidRPr="004B1439">
                        <w:rPr>
                          <w:sz w:val="18"/>
                          <w:szCs w:val="18"/>
                        </w:rPr>
                        <w:t>2019</w:t>
                      </w:r>
                    </w:p>
                  </w:txbxContent>
                </v:textbox>
                <w10:wrap type="square"/>
              </v:shape>
            </w:pict>
          </mc:Fallback>
        </mc:AlternateContent>
      </w:r>
      <w:r>
        <w:rPr>
          <w:noProof/>
        </w:rPr>
        <mc:AlternateContent>
          <mc:Choice Requires="wps">
            <w:drawing>
              <wp:anchor distT="45720" distB="45720" distL="114300" distR="114300" simplePos="0" relativeHeight="251683840" behindDoc="0" locked="0" layoutInCell="1" allowOverlap="1" wp14:anchorId="53C0A36D" wp14:editId="2F5C9FD6">
                <wp:simplePos x="0" y="0"/>
                <wp:positionH relativeFrom="column">
                  <wp:posOffset>4648835</wp:posOffset>
                </wp:positionH>
                <wp:positionV relativeFrom="paragraph">
                  <wp:posOffset>1244600</wp:posOffset>
                </wp:positionV>
                <wp:extent cx="429260" cy="23812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 cy="238125"/>
                        </a:xfrm>
                        <a:prstGeom prst="rect">
                          <a:avLst/>
                        </a:prstGeom>
                        <a:noFill/>
                        <a:ln w="9525">
                          <a:noFill/>
                          <a:miter lim="800000"/>
                          <a:headEnd/>
                          <a:tailEnd/>
                        </a:ln>
                      </wps:spPr>
                      <wps:txbx>
                        <w:txbxContent>
                          <w:p w14:paraId="3BAA3795" w14:textId="7681227E" w:rsidR="00D34058" w:rsidRPr="004B1439" w:rsidRDefault="00D34058" w:rsidP="00BB55D6">
                            <w:pPr>
                              <w:shd w:val="clear" w:color="auto" w:fill="8EAADB" w:themeFill="accent5" w:themeFillTint="99"/>
                              <w:rPr>
                                <w:sz w:val="18"/>
                                <w:szCs w:val="18"/>
                              </w:rPr>
                            </w:pPr>
                            <w:r w:rsidRPr="004B1439">
                              <w:rPr>
                                <w:sz w:val="18"/>
                                <w:szCs w:val="18"/>
                              </w:rPr>
                              <w:t>20</w:t>
                            </w:r>
                            <w:r>
                              <w:rPr>
                                <w:sz w:val="18"/>
                                <w:szCs w:val="18"/>
                              </w:rPr>
                              <w:t>20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C0A36D" id="_x0000_s1028" type="#_x0000_t202" style="position:absolute;left:0;text-align:left;margin-left:366.05pt;margin-top:98pt;width:33.8pt;height:18.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" filled="f" stroked="f">
                <v:textbox>
                  <w:txbxContent>
                    <w:p w14:paraId="3BAA3795" w14:textId="7681227E" w:rsidR="00D34058" w:rsidRPr="004B1439" w:rsidRDefault="00D34058" w:rsidP="00BB55D6">
                      <w:pPr>
                        <w:shd w:val="clear" w:color="auto" w:fill="8EAADB" w:themeFill="accent5" w:themeFillTint="99"/>
                        <w:rPr>
                          <w:sz w:val="18"/>
                          <w:szCs w:val="18"/>
                        </w:rPr>
                      </w:pPr>
                      <w:r w:rsidRPr="004B1439">
                        <w:rPr>
                          <w:sz w:val="18"/>
                          <w:szCs w:val="18"/>
                        </w:rPr>
                        <w:t>20</w:t>
                      </w:r>
                      <w:r>
                        <w:rPr>
                          <w:sz w:val="18"/>
                          <w:szCs w:val="18"/>
                        </w:rPr>
                        <w:t>20</w:t>
                      </w:r>
                    </w:p>
                  </w:txbxContent>
                </v:textbox>
                <w10:wrap type="square"/>
              </v:shape>
            </w:pict>
          </mc:Fallback>
        </mc:AlternateContent>
      </w:r>
      <w:r>
        <w:rPr>
          <w:noProof/>
        </w:rPr>
        <w:drawing>
          <wp:anchor distT="0" distB="0" distL="114300" distR="114300" simplePos="0" relativeHeight="251682816" behindDoc="0" locked="0" layoutInCell="1" allowOverlap="1" wp14:anchorId="4A7B25C0" wp14:editId="0FFD596D">
            <wp:simplePos x="0" y="0"/>
            <wp:positionH relativeFrom="column">
              <wp:posOffset>2962275</wp:posOffset>
            </wp:positionH>
            <wp:positionV relativeFrom="paragraph">
              <wp:posOffset>365125</wp:posOffset>
            </wp:positionV>
            <wp:extent cx="2790825" cy="1839595"/>
            <wp:effectExtent l="0" t="0" r="0" b="8255"/>
            <wp:wrapSquare wrapText="bothSides"/>
            <wp:docPr id="8" name="Chart 8">
              <a:extLst xmlns:a="http://schemas.openxmlformats.org/drawingml/2006/main">
                <a:ext uri="{FF2B5EF4-FFF2-40B4-BE49-F238E27FC236}">
                  <a16:creationId xmlns:a16="http://schemas.microsoft.com/office/drawing/2014/main" id="{68A84534-85FF-40EA-B2FB-EB38F42FE1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sidR="002156E5">
        <w:t>Of course, 2020 is no typical year a</w:t>
      </w:r>
      <w:r w:rsidR="004B1439">
        <w:t>s</w:t>
      </w:r>
      <w:r w:rsidR="002156E5">
        <w:t xml:space="preserve"> sales have stayed above 2,200 into the fall.</w:t>
      </w:r>
      <w:r w:rsidRPr="00A25A48">
        <w:rPr>
          <w:noProof/>
        </w:rPr>
        <w:t xml:space="preserve"> </w:t>
      </w:r>
    </w:p>
    <w:p w14:paraId="2961C84F" w14:textId="1F6C592D" w:rsidR="00057F91" w:rsidRDefault="004B1439" w:rsidP="00A25A48">
      <w:pPr>
        <w:spacing w:before="120" w:after="120"/>
        <w:ind w:right="-360"/>
        <w:contextualSpacing/>
      </w:pPr>
      <w:r>
        <w:t xml:space="preserve">The </w:t>
      </w:r>
      <w:r w:rsidRPr="006A0D96">
        <w:rPr>
          <w:i/>
          <w:iCs/>
        </w:rPr>
        <w:t>Sales Comparison</w:t>
      </w:r>
      <w:r>
        <w:t xml:space="preserve"> graph above, shows how the market was in sync the first </w:t>
      </w:r>
      <w:r w:rsidR="00BB55D6">
        <w:t xml:space="preserve">three months of the year. </w:t>
      </w:r>
    </w:p>
    <w:p w14:paraId="00C4B90C" w14:textId="77777777" w:rsidR="00057F91" w:rsidRDefault="00057F91" w:rsidP="00D126F1">
      <w:pPr>
        <w:spacing w:before="120" w:after="120"/>
        <w:ind w:left="-360" w:right="-360"/>
        <w:contextualSpacing/>
      </w:pPr>
    </w:p>
    <w:p w14:paraId="14C0BB94" w14:textId="77777777" w:rsidR="00656C73" w:rsidRDefault="00BB55D6" w:rsidP="00D126F1">
      <w:pPr>
        <w:spacing w:before="120" w:after="120"/>
        <w:ind w:left="-360" w:right="-360"/>
        <w:contextualSpacing/>
      </w:pPr>
      <w:r>
        <w:t xml:space="preserve">Once the “Stay at Home” order was </w:t>
      </w:r>
      <w:r w:rsidR="00057F91">
        <w:t>declared</w:t>
      </w:r>
      <w:r w:rsidR="00D34058">
        <w:t xml:space="preserve"> in March</w:t>
      </w:r>
      <w:r w:rsidR="00057F91">
        <w:t xml:space="preserve">, there was a slight pause </w:t>
      </w:r>
      <w:r w:rsidR="00656C73">
        <w:t>from</w:t>
      </w:r>
      <w:r w:rsidR="00057F91">
        <w:t xml:space="preserve"> April </w:t>
      </w:r>
      <w:r w:rsidR="00D34058">
        <w:t>–</w:t>
      </w:r>
      <w:r w:rsidR="00057F91">
        <w:t xml:space="preserve"> June.</w:t>
      </w:r>
      <w:r w:rsidR="00D34058" w:rsidRPr="00D34058">
        <w:t xml:space="preserve"> </w:t>
      </w:r>
      <w:r w:rsidR="00656C73">
        <w:t>The market did not plunge due to the coronavirus.</w:t>
      </w:r>
    </w:p>
    <w:p w14:paraId="73D6AEC1" w14:textId="77777777" w:rsidR="00A25A48" w:rsidRDefault="00A25A48" w:rsidP="00A25A48">
      <w:pPr>
        <w:spacing w:before="120" w:after="120"/>
        <w:ind w:right="-360"/>
        <w:contextualSpacing/>
      </w:pPr>
    </w:p>
    <w:p w14:paraId="3FBC24BC" w14:textId="5B2349E5" w:rsidR="00D34058" w:rsidRDefault="00A25A48" w:rsidP="00A25A48">
      <w:pPr>
        <w:spacing w:before="120" w:after="120"/>
        <w:ind w:left="-360" w:right="-360"/>
        <w:contextualSpacing/>
      </w:pPr>
      <w:r>
        <w:lastRenderedPageBreak/>
        <w:t>J</w:t>
      </w:r>
      <w:r w:rsidR="00D34058">
        <w:t>uly and August of this year came back strong, and even exceeded 2019.</w:t>
      </w:r>
    </w:p>
    <w:p w14:paraId="241A4BB4" w14:textId="1FD70EC9" w:rsidR="00D34058" w:rsidRDefault="00D34058" w:rsidP="00D126F1">
      <w:pPr>
        <w:spacing w:before="120" w:after="120"/>
        <w:ind w:left="-360" w:right="-360"/>
        <w:contextualSpacing/>
      </w:pPr>
    </w:p>
    <w:p w14:paraId="185EF90F" w14:textId="73A93A51" w:rsidR="00D34058" w:rsidRDefault="00D34058" w:rsidP="00D126F1">
      <w:pPr>
        <w:spacing w:before="120" w:after="120"/>
        <w:ind w:left="-360" w:right="-360"/>
        <w:contextualSpacing/>
      </w:pPr>
      <w:r>
        <w:t>But, where we usually see a trailing off in the fall, 2020 went full speed ahead</w:t>
      </w:r>
      <w:r w:rsidR="00C105B5">
        <w:t xml:space="preserve"> and amassed a 504-unit lead over 2019. </w:t>
      </w:r>
    </w:p>
    <w:p w14:paraId="03BE2B72" w14:textId="2FDA0A67" w:rsidR="00057F91" w:rsidRDefault="00057F91" w:rsidP="00D126F1">
      <w:pPr>
        <w:spacing w:before="120" w:after="120"/>
        <w:ind w:left="-360" w:right="-360"/>
        <w:contextualSpacing/>
      </w:pPr>
    </w:p>
    <w:p w14:paraId="4B270E5B" w14:textId="3CF84F36" w:rsidR="00057F91" w:rsidRDefault="00C105B5" w:rsidP="00D126F1">
      <w:pPr>
        <w:spacing w:before="120" w:after="120"/>
        <w:ind w:left="-360" w:right="-360"/>
        <w:contextualSpacing/>
      </w:pPr>
      <w:r>
        <w:t>The fact that sales are up 0.3% through the 3</w:t>
      </w:r>
      <w:r w:rsidRPr="00C105B5">
        <w:rPr>
          <w:vertAlign w:val="superscript"/>
        </w:rPr>
        <w:t>rd</w:t>
      </w:r>
      <w:r>
        <w:t xml:space="preserve"> quarter is a testament to the strength of buyer demand</w:t>
      </w:r>
      <w:r w:rsidR="004A1A6C">
        <w:t>. Putting the market on pace to annual sales in the vicinity of 21,000 units, where it has finished since 2016</w:t>
      </w:r>
      <w:r w:rsidR="006A0D96">
        <w:t xml:space="preserve"> (See </w:t>
      </w:r>
      <w:r w:rsidR="006A0D96" w:rsidRPr="006A0D96">
        <w:rPr>
          <w:i/>
          <w:iCs/>
        </w:rPr>
        <w:t>Sold Units</w:t>
      </w:r>
      <w:r w:rsidR="006A0D96">
        <w:t xml:space="preserve"> graph below)</w:t>
      </w:r>
      <w:r w:rsidR="004A1A6C">
        <w:t>.</w:t>
      </w:r>
    </w:p>
    <w:p w14:paraId="3BC49593" w14:textId="1D03A283" w:rsidR="004B1439" w:rsidRDefault="004A1A6C" w:rsidP="00D126F1">
      <w:pPr>
        <w:spacing w:before="120" w:after="120"/>
        <w:ind w:left="-360" w:right="-360"/>
        <w:contextualSpacing/>
      </w:pPr>
      <w:r>
        <w:rPr>
          <w:noProof/>
        </w:rPr>
        <w:drawing>
          <wp:anchor distT="0" distB="0" distL="114300" distR="114300" simplePos="0" relativeHeight="251678720" behindDoc="0" locked="0" layoutInCell="1" allowOverlap="1" wp14:anchorId="22DE318B" wp14:editId="5AF330E0">
            <wp:simplePos x="0" y="0"/>
            <wp:positionH relativeFrom="column">
              <wp:posOffset>-352425</wp:posOffset>
            </wp:positionH>
            <wp:positionV relativeFrom="paragraph">
              <wp:posOffset>35560</wp:posOffset>
            </wp:positionV>
            <wp:extent cx="5029200" cy="2743200"/>
            <wp:effectExtent l="0" t="0" r="0" b="0"/>
            <wp:wrapSquare wrapText="bothSides"/>
            <wp:docPr id="13" name="Chart 13">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t>5,125 units in the 4</w:t>
      </w:r>
      <w:r w:rsidRPr="004A1A6C">
        <w:rPr>
          <w:vertAlign w:val="superscript"/>
        </w:rPr>
        <w:t>th</w:t>
      </w:r>
      <w:r>
        <w:t xml:space="preserve"> quarter may be a stretch, considering the market average was 4,648 over the last 4 years. </w:t>
      </w:r>
    </w:p>
    <w:p w14:paraId="5E67F75C" w14:textId="21D2C958" w:rsidR="004B1439" w:rsidRDefault="004B1439" w:rsidP="00D126F1">
      <w:pPr>
        <w:spacing w:before="120" w:after="120"/>
        <w:ind w:left="-360" w:right="-360"/>
        <w:contextualSpacing/>
      </w:pPr>
    </w:p>
    <w:p w14:paraId="2E830020" w14:textId="331E19DF" w:rsidR="006A0D96" w:rsidRDefault="006A0D96" w:rsidP="00D126F1">
      <w:pPr>
        <w:spacing w:before="120" w:after="120"/>
        <w:ind w:left="-360" w:right="-360"/>
        <w:contextualSpacing/>
      </w:pPr>
      <w:r>
        <w:t xml:space="preserve">However, there is little doubt that 2020 will wind up in much better </w:t>
      </w:r>
      <w:r w:rsidR="004C7E31">
        <w:t xml:space="preserve">shape </w:t>
      </w:r>
      <w:r>
        <w:t xml:space="preserve">than many had worried about at the beginning of the pandemic. </w:t>
      </w:r>
    </w:p>
    <w:p w14:paraId="4631EDD5" w14:textId="047DD5FB" w:rsidR="006A0D96" w:rsidRDefault="006A0D96" w:rsidP="00D126F1">
      <w:pPr>
        <w:spacing w:before="120" w:after="120"/>
        <w:ind w:left="-360" w:right="-360"/>
        <w:contextualSpacing/>
      </w:pPr>
    </w:p>
    <w:p w14:paraId="6A86AA3D" w14:textId="4B3DDEDF" w:rsidR="006A0D96" w:rsidRDefault="006A0D96" w:rsidP="00D126F1">
      <w:pPr>
        <w:spacing w:before="120" w:after="120"/>
        <w:ind w:left="-360" w:right="-360"/>
        <w:contextualSpacing/>
      </w:pPr>
    </w:p>
    <w:p w14:paraId="7913DD40" w14:textId="77777777" w:rsidR="004C7E31" w:rsidRDefault="004C7E31" w:rsidP="00205183">
      <w:pPr>
        <w:spacing w:before="120" w:after="120"/>
        <w:ind w:left="-360" w:right="-360"/>
        <w:contextualSpacing/>
        <w:rPr>
          <w:b/>
          <w:bCs/>
        </w:rPr>
      </w:pPr>
    </w:p>
    <w:p w14:paraId="67D053DF" w14:textId="77777777" w:rsidR="00A25A48" w:rsidRDefault="00A25A48" w:rsidP="00205183">
      <w:pPr>
        <w:spacing w:before="120" w:after="120"/>
        <w:ind w:left="-360" w:right="-360"/>
        <w:contextualSpacing/>
        <w:rPr>
          <w:b/>
          <w:bCs/>
        </w:rPr>
      </w:pPr>
    </w:p>
    <w:p w14:paraId="4B166BBC" w14:textId="3214ECE1" w:rsidR="00205183" w:rsidRPr="005650BC" w:rsidRDefault="00205183" w:rsidP="00205183">
      <w:pPr>
        <w:spacing w:before="120" w:after="120"/>
        <w:ind w:left="-360" w:right="-360"/>
        <w:contextualSpacing/>
      </w:pPr>
      <w:r w:rsidRPr="005650BC">
        <w:rPr>
          <w:b/>
          <w:bCs/>
        </w:rPr>
        <w:t>Average Sale Prices</w:t>
      </w:r>
    </w:p>
    <w:p w14:paraId="362FDE3E" w14:textId="144DB336" w:rsidR="00205183" w:rsidRDefault="00205183" w:rsidP="00205183">
      <w:pPr>
        <w:spacing w:before="120" w:after="120"/>
        <w:ind w:left="-360" w:right="-360"/>
        <w:contextualSpacing/>
      </w:pPr>
      <w:r w:rsidRPr="0031621B">
        <w:t xml:space="preserve">The average sale price in all </w:t>
      </w:r>
      <w:r w:rsidR="004C7E31">
        <w:t xml:space="preserve">4 metropolitan </w:t>
      </w:r>
      <w:r w:rsidRPr="0031621B">
        <w:t xml:space="preserve">counties was up </w:t>
      </w:r>
      <w:r w:rsidR="004C7E31">
        <w:t>through</w:t>
      </w:r>
      <w:r w:rsidRPr="0031621B">
        <w:t xml:space="preserve"> the </w:t>
      </w:r>
      <w:r w:rsidR="00FB5F93">
        <w:t>3</w:t>
      </w:r>
      <w:r w:rsidR="00FB5F93" w:rsidRPr="00752249">
        <w:rPr>
          <w:vertAlign w:val="superscript"/>
        </w:rPr>
        <w:t>rd</w:t>
      </w:r>
      <w:r w:rsidR="00752249">
        <w:t xml:space="preserve"> </w:t>
      </w:r>
      <w:r w:rsidRPr="0031621B">
        <w:t>quarter</w:t>
      </w:r>
      <w:r w:rsidR="006416AF">
        <w:t>, which is not surprising c</w:t>
      </w:r>
      <w:r w:rsidRPr="0031621B">
        <w:t>onsidering the lack of inventory</w:t>
      </w:r>
      <w:r>
        <w:t xml:space="preserve"> throughout the area, particularly for properties under $300,000. </w:t>
      </w:r>
    </w:p>
    <w:p w14:paraId="02953235" w14:textId="77777777" w:rsidR="00FC7E7D" w:rsidRDefault="00FC7E7D" w:rsidP="00205183">
      <w:pPr>
        <w:spacing w:before="120" w:after="120"/>
        <w:ind w:left="-360" w:right="-360"/>
        <w:contextualSpacing/>
      </w:pPr>
    </w:p>
    <w:p w14:paraId="668E4D1F" w14:textId="5FE5F96F" w:rsidR="00B92635" w:rsidRDefault="00FC7E7D" w:rsidP="00B92635">
      <w:pPr>
        <w:spacing w:before="120" w:after="120"/>
        <w:ind w:left="-360" w:right="-360"/>
        <w:contextualSpacing/>
      </w:pPr>
      <w:r>
        <w:t>Price pressure is evident by the amount of time properties are on the market. In September alone 76% of properties that sold, did so within 30-days, and 90% sold within 60-days. When properties sell that quickly, there are often multiple bids on a house</w:t>
      </w:r>
      <w:r w:rsidR="00752249">
        <w:t>,</w:t>
      </w:r>
      <w:r w:rsidR="00752249" w:rsidRPr="00752249">
        <w:t xml:space="preserve"> </w:t>
      </w:r>
      <w:r w:rsidR="00752249">
        <w:t>for more than the asking price,</w:t>
      </w:r>
      <w:r>
        <w:t xml:space="preserve"> within days of it being listed for sale.</w:t>
      </w:r>
    </w:p>
    <w:p w14:paraId="32624C2F" w14:textId="1E194D06" w:rsidR="00205183" w:rsidRDefault="009A6291" w:rsidP="009A6291">
      <w:pPr>
        <w:spacing w:before="120" w:after="120"/>
        <w:ind w:left="-360" w:right="-360"/>
        <w:contextualSpacing/>
        <w:jc w:val="center"/>
      </w:pPr>
      <w:r w:rsidRPr="009A6291">
        <w:rPr>
          <w:noProof/>
          <w:shd w:val="clear" w:color="auto" w:fill="BDD6EE" w:themeFill="accent1" w:themeFillTint="66"/>
        </w:rPr>
        <w:drawing>
          <wp:inline distT="0" distB="0" distL="0" distR="0" wp14:anchorId="1EED660C" wp14:editId="19DBC449">
            <wp:extent cx="5029200" cy="2743200"/>
            <wp:effectExtent l="0" t="0" r="0" b="0"/>
            <wp:docPr id="4" name="Chart 4">
              <a:extLst xmlns:a="http://schemas.openxmlformats.org/drawingml/2006/main">
                <a:ext uri="{FF2B5EF4-FFF2-40B4-BE49-F238E27FC236}">
                  <a16:creationId xmlns:a16="http://schemas.microsoft.com/office/drawing/2014/main" id="{00000000-0008-0000-07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7356E36" w14:textId="5C9DA38C" w:rsidR="00D7710D" w:rsidRDefault="006416AF" w:rsidP="008E494E">
      <w:pPr>
        <w:spacing w:before="120" w:after="120"/>
        <w:ind w:left="-360" w:right="-360"/>
        <w:contextualSpacing/>
      </w:pPr>
      <w:r>
        <w:t xml:space="preserve">In the 4-county metropolitan area, average prices went up </w:t>
      </w:r>
      <w:r w:rsidR="004C7E31">
        <w:t>8</w:t>
      </w:r>
      <w:r>
        <w:t>.</w:t>
      </w:r>
      <w:r w:rsidR="004C7E31">
        <w:t>7</w:t>
      </w:r>
      <w:r>
        <w:t>%, or $</w:t>
      </w:r>
      <w:r w:rsidR="004C7E31">
        <w:t>25</w:t>
      </w:r>
      <w:r>
        <w:t>,</w:t>
      </w:r>
      <w:r w:rsidR="004C7E31">
        <w:t>795</w:t>
      </w:r>
      <w:r>
        <w:t xml:space="preserve">, through the </w:t>
      </w:r>
      <w:r w:rsidR="00FB5F93">
        <w:t>3</w:t>
      </w:r>
      <w:r w:rsidR="00FB5F93" w:rsidRPr="004C7E31">
        <w:rPr>
          <w:vertAlign w:val="superscript"/>
        </w:rPr>
        <w:t>rd</w:t>
      </w:r>
      <w:r w:rsidR="004C7E31">
        <w:t xml:space="preserve"> </w:t>
      </w:r>
      <w:r>
        <w:t>quarter going from $</w:t>
      </w:r>
      <w:r w:rsidR="004C7E31">
        <w:t>297,715 in 2019</w:t>
      </w:r>
      <w:r>
        <w:t xml:space="preserve"> to $3</w:t>
      </w:r>
      <w:r w:rsidR="004C7E31">
        <w:t>23</w:t>
      </w:r>
      <w:r>
        <w:t>,</w:t>
      </w:r>
      <w:r w:rsidR="004C7E31">
        <w:t>510 in 2020</w:t>
      </w:r>
      <w:r>
        <w:t>.</w:t>
      </w:r>
      <w:r w:rsidR="004C7E31">
        <w:t xml:space="preserve"> </w:t>
      </w:r>
    </w:p>
    <w:p w14:paraId="2698166A" w14:textId="33A0B135" w:rsidR="004C7E31" w:rsidRDefault="004C7E31" w:rsidP="008E494E">
      <w:pPr>
        <w:spacing w:before="120" w:after="120"/>
        <w:ind w:left="-360" w:right="-360"/>
        <w:contextualSpacing/>
      </w:pPr>
    </w:p>
    <w:p w14:paraId="69ED6B83" w14:textId="6609D458" w:rsidR="008E494E" w:rsidRDefault="009A6291" w:rsidP="006416AF">
      <w:pPr>
        <w:spacing w:before="120" w:after="120"/>
        <w:ind w:left="-360" w:right="-360"/>
        <w:contextualSpacing/>
        <w:jc w:val="center"/>
      </w:pPr>
      <w:r>
        <w:rPr>
          <w:noProof/>
        </w:rPr>
        <w:lastRenderedPageBreak/>
        <w:drawing>
          <wp:inline distT="0" distB="0" distL="0" distR="0" wp14:anchorId="22241C59" wp14:editId="044AC338">
            <wp:extent cx="5029200" cy="2651760"/>
            <wp:effectExtent l="0" t="0" r="0" b="0"/>
            <wp:docPr id="5" name="Chart 5">
              <a:extLst xmlns:a="http://schemas.openxmlformats.org/drawingml/2006/main">
                <a:ext uri="{FF2B5EF4-FFF2-40B4-BE49-F238E27FC236}">
                  <a16:creationId xmlns:a16="http://schemas.microsoft.com/office/drawing/2014/main" id="{F1F0F4FC-9DA8-406A-90B5-E226912534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9E4FDCB" w14:textId="77777777" w:rsidR="00B92635" w:rsidRDefault="00B92635" w:rsidP="006416AF">
      <w:pPr>
        <w:spacing w:before="120" w:after="120"/>
        <w:ind w:left="-360" w:right="-360"/>
        <w:contextualSpacing/>
      </w:pPr>
    </w:p>
    <w:p w14:paraId="5C6D4C75" w14:textId="6E2F1210" w:rsidR="00DF411E" w:rsidRDefault="006416AF" w:rsidP="00DF411E">
      <w:pPr>
        <w:spacing w:before="120" w:after="120"/>
        <w:ind w:left="-360" w:right="-360"/>
        <w:contextualSpacing/>
      </w:pPr>
      <w:r w:rsidRPr="0031621B">
        <w:t>The average sale price</w:t>
      </w:r>
      <w:r>
        <w:t>s</w:t>
      </w:r>
      <w:r w:rsidRPr="0031621B">
        <w:t xml:space="preserve"> in </w:t>
      </w:r>
      <w:r>
        <w:t xml:space="preserve">all 7 </w:t>
      </w:r>
      <w:r w:rsidRPr="0031621B">
        <w:t xml:space="preserve">SE Wisconsin </w:t>
      </w:r>
      <w:r w:rsidR="00752249">
        <w:t xml:space="preserve">counties </w:t>
      </w:r>
      <w:r w:rsidRPr="0031621B">
        <w:t>w</w:t>
      </w:r>
      <w:r>
        <w:t>ere</w:t>
      </w:r>
      <w:r w:rsidRPr="0031621B">
        <w:t xml:space="preserve"> up in the </w:t>
      </w:r>
      <w:r w:rsidR="00FB5F93">
        <w:t>3</w:t>
      </w:r>
      <w:r w:rsidR="00FB5F93" w:rsidRPr="00752249">
        <w:rPr>
          <w:vertAlign w:val="superscript"/>
        </w:rPr>
        <w:t>rd</w:t>
      </w:r>
      <w:r w:rsidR="00752249">
        <w:t xml:space="preserve"> </w:t>
      </w:r>
      <w:r w:rsidRPr="0031621B">
        <w:t>quarter</w:t>
      </w:r>
      <w:r>
        <w:t xml:space="preserve"> as well</w:t>
      </w:r>
      <w:r w:rsidR="005478AC">
        <w:t>. The 7-c</w:t>
      </w:r>
      <w:r>
        <w:t xml:space="preserve">ounty </w:t>
      </w:r>
      <w:r w:rsidR="005478AC">
        <w:t xml:space="preserve">area went up </w:t>
      </w:r>
      <w:r w:rsidR="00B92635">
        <w:t>10</w:t>
      </w:r>
      <w:r w:rsidR="005478AC">
        <w:t>.</w:t>
      </w:r>
      <w:r w:rsidR="00B92635">
        <w:t>5</w:t>
      </w:r>
      <w:r w:rsidR="005478AC">
        <w:t>%, or $</w:t>
      </w:r>
      <w:r w:rsidR="00B92635">
        <w:t>29</w:t>
      </w:r>
      <w:r w:rsidR="005478AC">
        <w:t>,</w:t>
      </w:r>
      <w:r w:rsidR="00B92635">
        <w:t>145</w:t>
      </w:r>
      <w:r w:rsidR="005478AC">
        <w:t>.</w:t>
      </w:r>
    </w:p>
    <w:p w14:paraId="72FD5533" w14:textId="77777777" w:rsidR="00DF411E" w:rsidRDefault="00DF411E" w:rsidP="00DF411E">
      <w:pPr>
        <w:spacing w:before="120" w:after="120"/>
        <w:ind w:left="-360" w:right="-360"/>
        <w:contextualSpacing/>
      </w:pPr>
    </w:p>
    <w:p w14:paraId="447042C6" w14:textId="1A80C1E4" w:rsidR="00DF411E" w:rsidRDefault="00DF411E" w:rsidP="00DF411E">
      <w:pPr>
        <w:spacing w:before="120" w:after="120"/>
        <w:ind w:left="-360" w:right="-360"/>
        <w:contextualSpacing/>
      </w:pPr>
      <w:r w:rsidRPr="005478AC">
        <w:t xml:space="preserve">Walworth County </w:t>
      </w:r>
      <w:r>
        <w:t>lead the region with a 2</w:t>
      </w:r>
      <w:r w:rsidRPr="005478AC">
        <w:t>3.</w:t>
      </w:r>
      <w:r>
        <w:t>4</w:t>
      </w:r>
      <w:r w:rsidRPr="005478AC">
        <w:t>%</w:t>
      </w:r>
      <w:r>
        <w:t xml:space="preserve"> increase in average sale price, amounting to </w:t>
      </w:r>
      <w:r w:rsidRPr="005478AC">
        <w:t>$</w:t>
      </w:r>
      <w:r>
        <w:t>71</w:t>
      </w:r>
      <w:r w:rsidRPr="005478AC">
        <w:t>,</w:t>
      </w:r>
      <w:r>
        <w:t>578</w:t>
      </w:r>
      <w:r w:rsidR="00752249">
        <w:t xml:space="preserve"> more than last year</w:t>
      </w:r>
      <w:r>
        <w:t>. Milwaukee County, the most populous county, saw prices go up 9.8%, or $19,652, through the 3</w:t>
      </w:r>
      <w:r w:rsidRPr="00DF411E">
        <w:rPr>
          <w:vertAlign w:val="superscript"/>
        </w:rPr>
        <w:t>rd</w:t>
      </w:r>
      <w:r>
        <w:t xml:space="preserve"> quarter.</w:t>
      </w:r>
    </w:p>
    <w:p w14:paraId="4B4379B5" w14:textId="77777777" w:rsidR="00B92635" w:rsidRDefault="00B92635" w:rsidP="006416AF">
      <w:pPr>
        <w:spacing w:before="120" w:after="120"/>
        <w:ind w:left="-360" w:right="-360"/>
        <w:contextualSpacing/>
      </w:pPr>
    </w:p>
    <w:tbl>
      <w:tblPr>
        <w:tblW w:w="6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31"/>
        <w:gridCol w:w="1269"/>
        <w:gridCol w:w="1052"/>
        <w:gridCol w:w="1270"/>
        <w:gridCol w:w="1247"/>
      </w:tblGrid>
      <w:tr w:rsidR="006416AF" w:rsidRPr="00C41C9C" w14:paraId="65AACBF0" w14:textId="77777777" w:rsidTr="00DF411E">
        <w:trPr>
          <w:trHeight w:val="360"/>
          <w:jc w:val="center"/>
        </w:trPr>
        <w:tc>
          <w:tcPr>
            <w:tcW w:w="6569" w:type="dxa"/>
            <w:gridSpan w:val="5"/>
            <w:tcBorders>
              <w:top w:val="nil"/>
              <w:left w:val="nil"/>
              <w:bottom w:val="nil"/>
              <w:right w:val="nil"/>
            </w:tcBorders>
          </w:tcPr>
          <w:p w14:paraId="66ABBE27" w14:textId="32B1472F" w:rsidR="006416AF" w:rsidRPr="00F67F9D" w:rsidRDefault="00DF411E" w:rsidP="00F67F9D">
            <w:pPr>
              <w:spacing w:line="252" w:lineRule="auto"/>
              <w:ind w:right="85"/>
              <w:rPr>
                <w:rFonts w:cstheme="minorHAnsi"/>
                <w:b/>
              </w:rPr>
            </w:pPr>
            <w:r w:rsidRPr="00F67F9D">
              <w:rPr>
                <w:rFonts w:cstheme="minorHAnsi"/>
                <w:b/>
              </w:rPr>
              <w:t>Sale Prices Thr</w:t>
            </w:r>
            <w:r w:rsidR="00F67F9D">
              <w:rPr>
                <w:rFonts w:cstheme="minorHAnsi"/>
                <w:b/>
              </w:rPr>
              <w:t>o</w:t>
            </w:r>
            <w:r w:rsidRPr="00F67F9D">
              <w:rPr>
                <w:rFonts w:cstheme="minorHAnsi"/>
                <w:b/>
              </w:rPr>
              <w:t>u</w:t>
            </w:r>
            <w:r w:rsidR="00F67F9D">
              <w:rPr>
                <w:rFonts w:cstheme="minorHAnsi"/>
                <w:b/>
              </w:rPr>
              <w:t>gh</w:t>
            </w:r>
            <w:r w:rsidRPr="00F67F9D">
              <w:rPr>
                <w:rFonts w:cstheme="minorHAnsi"/>
                <w:b/>
              </w:rPr>
              <w:t xml:space="preserve"> </w:t>
            </w:r>
            <w:r w:rsidR="00FB5F93" w:rsidRPr="00F67F9D">
              <w:rPr>
                <w:rFonts w:cstheme="minorHAnsi"/>
                <w:b/>
              </w:rPr>
              <w:t>3</w:t>
            </w:r>
            <w:r w:rsidR="00FB5F93" w:rsidRPr="00F67F9D">
              <w:rPr>
                <w:rFonts w:cstheme="minorHAnsi"/>
                <w:b/>
                <w:vertAlign w:val="superscript"/>
              </w:rPr>
              <w:t>rd</w:t>
            </w:r>
            <w:r w:rsidR="006416AF" w:rsidRPr="00F67F9D">
              <w:rPr>
                <w:rFonts w:cstheme="minorHAnsi"/>
                <w:b/>
              </w:rPr>
              <w:t xml:space="preserve"> Quarter </w:t>
            </w:r>
          </w:p>
        </w:tc>
      </w:tr>
      <w:tr w:rsidR="006416AF" w:rsidRPr="00C41C9C" w14:paraId="639A4986" w14:textId="77777777" w:rsidTr="00DF411E">
        <w:trPr>
          <w:trHeight w:val="288"/>
          <w:jc w:val="center"/>
        </w:trPr>
        <w:tc>
          <w:tcPr>
            <w:tcW w:w="1731" w:type="dxa"/>
            <w:tcBorders>
              <w:top w:val="nil"/>
              <w:left w:val="nil"/>
              <w:bottom w:val="nil"/>
              <w:right w:val="single" w:sz="12" w:space="0" w:color="FFFFFF"/>
            </w:tcBorders>
            <w:shd w:val="clear" w:color="auto" w:fill="1F4E79" w:themeFill="accent1" w:themeFillShade="80"/>
            <w:vAlign w:val="center"/>
            <w:hideMark/>
          </w:tcPr>
          <w:p w14:paraId="645E93FF" w14:textId="77777777" w:rsidR="006416AF" w:rsidRPr="00754FD0" w:rsidRDefault="006416AF" w:rsidP="00DF411E">
            <w:pPr>
              <w:ind w:left="175" w:right="51"/>
              <w:rPr>
                <w:b/>
                <w:color w:val="FFFFFF" w:themeColor="background1"/>
              </w:rPr>
            </w:pPr>
            <w:r w:rsidRPr="00754FD0">
              <w:rPr>
                <w:b/>
                <w:color w:val="FFFFFF" w:themeColor="background1"/>
              </w:rPr>
              <w:t>County</w:t>
            </w:r>
          </w:p>
        </w:tc>
        <w:tc>
          <w:tcPr>
            <w:tcW w:w="1269"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1B60875D" w14:textId="77777777" w:rsidR="006416AF" w:rsidRPr="0031621B" w:rsidRDefault="006416AF" w:rsidP="00DF411E">
            <w:pPr>
              <w:spacing w:line="207" w:lineRule="atLeast"/>
              <w:ind w:left="44" w:right="62"/>
              <w:jc w:val="center"/>
              <w:rPr>
                <w:color w:val="FFFFFF" w:themeColor="background1"/>
              </w:rPr>
            </w:pPr>
            <w:r w:rsidRPr="0031621B">
              <w:rPr>
                <w:color w:val="FFFFFF" w:themeColor="background1"/>
              </w:rPr>
              <w:t>201</w:t>
            </w:r>
            <w:r>
              <w:rPr>
                <w:color w:val="FFFFFF" w:themeColor="background1"/>
              </w:rPr>
              <w:t>9</w:t>
            </w:r>
          </w:p>
        </w:tc>
        <w:tc>
          <w:tcPr>
            <w:tcW w:w="1052" w:type="dxa"/>
            <w:tcBorders>
              <w:top w:val="nil"/>
              <w:left w:val="single" w:sz="12" w:space="0" w:color="FFFFFF"/>
              <w:bottom w:val="nil"/>
              <w:right w:val="single" w:sz="12" w:space="0" w:color="FFFFFF"/>
            </w:tcBorders>
            <w:shd w:val="clear" w:color="auto" w:fill="1F4E79" w:themeFill="accent1" w:themeFillShade="80"/>
            <w:tcMar>
              <w:top w:w="0" w:type="dxa"/>
              <w:left w:w="108" w:type="dxa"/>
              <w:bottom w:w="0" w:type="dxa"/>
              <w:right w:w="108" w:type="dxa"/>
            </w:tcMar>
            <w:hideMark/>
          </w:tcPr>
          <w:p w14:paraId="6135B993" w14:textId="77777777" w:rsidR="006416AF" w:rsidRPr="0031621B" w:rsidRDefault="006416AF" w:rsidP="00DF411E">
            <w:pPr>
              <w:spacing w:line="207" w:lineRule="atLeast"/>
              <w:ind w:right="-23"/>
              <w:jc w:val="center"/>
              <w:rPr>
                <w:color w:val="FFFFFF" w:themeColor="background1"/>
              </w:rPr>
            </w:pPr>
            <w:r w:rsidRPr="0031621B">
              <w:rPr>
                <w:color w:val="FFFFFF" w:themeColor="background1"/>
              </w:rPr>
              <w:t>20</w:t>
            </w:r>
            <w:r>
              <w:rPr>
                <w:color w:val="FFFFFF" w:themeColor="background1"/>
              </w:rPr>
              <w:t>20</w:t>
            </w:r>
          </w:p>
        </w:tc>
        <w:tc>
          <w:tcPr>
            <w:tcW w:w="1270" w:type="dxa"/>
            <w:tcBorders>
              <w:top w:val="nil"/>
              <w:left w:val="single" w:sz="12" w:space="0" w:color="FFFFFF"/>
              <w:bottom w:val="nil"/>
              <w:right w:val="nil"/>
            </w:tcBorders>
            <w:shd w:val="clear" w:color="auto" w:fill="1F4E79" w:themeFill="accent1" w:themeFillShade="80"/>
          </w:tcPr>
          <w:p w14:paraId="651D1E7B" w14:textId="77777777" w:rsidR="006416AF" w:rsidRPr="0031621B" w:rsidRDefault="006416AF" w:rsidP="00DF411E">
            <w:pPr>
              <w:ind w:left="89" w:right="65"/>
              <w:jc w:val="center"/>
              <w:rPr>
                <w:color w:val="FFFFFF" w:themeColor="background1"/>
              </w:rPr>
            </w:pPr>
            <w:r w:rsidRPr="0031621B">
              <w:rPr>
                <w:color w:val="FFFFFF" w:themeColor="background1"/>
              </w:rPr>
              <w:t>$ Change</w:t>
            </w:r>
          </w:p>
        </w:tc>
        <w:tc>
          <w:tcPr>
            <w:tcW w:w="1247" w:type="dxa"/>
            <w:tcBorders>
              <w:top w:val="nil"/>
              <w:left w:val="single" w:sz="12" w:space="0" w:color="FFFFFF"/>
              <w:bottom w:val="nil"/>
              <w:right w:val="nil"/>
            </w:tcBorders>
            <w:shd w:val="clear" w:color="auto" w:fill="1F4E79" w:themeFill="accent1" w:themeFillShade="80"/>
          </w:tcPr>
          <w:p w14:paraId="29274BF9" w14:textId="77777777" w:rsidR="006416AF" w:rsidRPr="00754FD0" w:rsidRDefault="006416AF" w:rsidP="00DF411E">
            <w:pPr>
              <w:ind w:left="89" w:right="90"/>
              <w:jc w:val="center"/>
              <w:rPr>
                <w:color w:val="FFFFFF" w:themeColor="background1"/>
              </w:rPr>
            </w:pPr>
            <w:r w:rsidRPr="00754FD0">
              <w:rPr>
                <w:color w:val="FFFFFF" w:themeColor="background1"/>
              </w:rPr>
              <w:t>% Change</w:t>
            </w:r>
          </w:p>
        </w:tc>
      </w:tr>
      <w:tr w:rsidR="006416AF" w:rsidRPr="00C41C9C" w14:paraId="4592CF2D" w14:textId="77777777" w:rsidTr="00DF411E">
        <w:trPr>
          <w:trHeight w:val="288"/>
          <w:jc w:val="center"/>
        </w:trPr>
        <w:tc>
          <w:tcPr>
            <w:tcW w:w="1731" w:type="dxa"/>
            <w:tcBorders>
              <w:top w:val="nil"/>
              <w:left w:val="nil"/>
              <w:bottom w:val="nil"/>
              <w:right w:val="nil"/>
            </w:tcBorders>
            <w:shd w:val="clear" w:color="auto" w:fill="auto"/>
            <w:tcMar>
              <w:top w:w="0" w:type="dxa"/>
              <w:left w:w="108" w:type="dxa"/>
              <w:bottom w:w="0" w:type="dxa"/>
              <w:right w:w="108" w:type="dxa"/>
            </w:tcMar>
            <w:vAlign w:val="center"/>
            <w:hideMark/>
          </w:tcPr>
          <w:p w14:paraId="3103911E" w14:textId="77777777" w:rsidR="006416AF" w:rsidRPr="00C41C9C" w:rsidRDefault="006416AF" w:rsidP="00DF411E">
            <w:pPr>
              <w:spacing w:line="252" w:lineRule="auto"/>
              <w:ind w:left="62" w:right="51"/>
            </w:pPr>
            <w:r w:rsidRPr="00C41C9C">
              <w:t>Milwaukee</w:t>
            </w:r>
          </w:p>
        </w:tc>
        <w:tc>
          <w:tcPr>
            <w:tcW w:w="1269" w:type="dxa"/>
            <w:tcBorders>
              <w:top w:val="nil"/>
              <w:left w:val="nil"/>
              <w:bottom w:val="nil"/>
              <w:right w:val="nil"/>
            </w:tcBorders>
            <w:shd w:val="clear" w:color="auto" w:fill="auto"/>
            <w:tcMar>
              <w:top w:w="0" w:type="dxa"/>
              <w:left w:w="108" w:type="dxa"/>
              <w:bottom w:w="0" w:type="dxa"/>
              <w:right w:w="108" w:type="dxa"/>
            </w:tcMar>
          </w:tcPr>
          <w:p w14:paraId="70E2F3E7" w14:textId="4E3BA87A" w:rsidR="006416AF" w:rsidRPr="0031621B" w:rsidRDefault="006416AF" w:rsidP="00DF411E">
            <w:pPr>
              <w:spacing w:line="252" w:lineRule="auto"/>
              <w:ind w:left="44" w:right="62"/>
            </w:pPr>
            <w:r w:rsidRPr="000155DE">
              <w:t>$</w:t>
            </w:r>
            <w:r w:rsidR="00956B75">
              <w:t>199,826</w:t>
            </w:r>
          </w:p>
        </w:tc>
        <w:tc>
          <w:tcPr>
            <w:tcW w:w="1052" w:type="dxa"/>
            <w:tcBorders>
              <w:top w:val="nil"/>
              <w:left w:val="nil"/>
              <w:bottom w:val="nil"/>
              <w:right w:val="nil"/>
            </w:tcBorders>
            <w:shd w:val="clear" w:color="auto" w:fill="auto"/>
            <w:tcMar>
              <w:top w:w="0" w:type="dxa"/>
              <w:left w:w="108" w:type="dxa"/>
              <w:bottom w:w="0" w:type="dxa"/>
              <w:right w:w="108" w:type="dxa"/>
            </w:tcMar>
          </w:tcPr>
          <w:p w14:paraId="4DB3D41C" w14:textId="3694C71E" w:rsidR="006416AF" w:rsidRPr="0031621B" w:rsidRDefault="006416AF" w:rsidP="00DF411E">
            <w:pPr>
              <w:spacing w:line="252" w:lineRule="auto"/>
              <w:ind w:right="-23"/>
            </w:pPr>
            <w:r>
              <w:t>$</w:t>
            </w:r>
            <w:r w:rsidR="00956B75">
              <w:t>219</w:t>
            </w:r>
            <w:r w:rsidR="00AE3EB4">
              <w:t>,</w:t>
            </w:r>
            <w:r w:rsidR="00956B75">
              <w:t>478</w:t>
            </w:r>
            <w:r w:rsidRPr="003A5E6D">
              <w:t xml:space="preserve"> </w:t>
            </w:r>
          </w:p>
        </w:tc>
        <w:tc>
          <w:tcPr>
            <w:tcW w:w="1270" w:type="dxa"/>
            <w:tcBorders>
              <w:top w:val="nil"/>
              <w:left w:val="nil"/>
              <w:bottom w:val="nil"/>
              <w:right w:val="nil"/>
            </w:tcBorders>
            <w:shd w:val="clear" w:color="auto" w:fill="auto"/>
          </w:tcPr>
          <w:p w14:paraId="06DD254B" w14:textId="27A0693C" w:rsidR="006416AF" w:rsidRPr="0031621B" w:rsidRDefault="006416AF" w:rsidP="00DF411E">
            <w:pPr>
              <w:spacing w:line="252" w:lineRule="auto"/>
              <w:ind w:left="89" w:right="232"/>
              <w:jc w:val="right"/>
            </w:pPr>
            <w:r w:rsidRPr="00D460C9">
              <w:t>$</w:t>
            </w:r>
            <w:r w:rsidR="00AE3EB4">
              <w:t>19,652</w:t>
            </w:r>
            <w:r w:rsidRPr="00D460C9">
              <w:t xml:space="preserve"> </w:t>
            </w:r>
          </w:p>
        </w:tc>
        <w:tc>
          <w:tcPr>
            <w:tcW w:w="1247" w:type="dxa"/>
            <w:tcBorders>
              <w:top w:val="nil"/>
              <w:left w:val="nil"/>
              <w:bottom w:val="nil"/>
              <w:right w:val="nil"/>
            </w:tcBorders>
          </w:tcPr>
          <w:p w14:paraId="6CEC7008" w14:textId="5FBE1F57" w:rsidR="006416AF" w:rsidRPr="00C41C9C" w:rsidRDefault="00AE3EB4" w:rsidP="00DF411E">
            <w:pPr>
              <w:spacing w:line="252" w:lineRule="auto"/>
              <w:ind w:right="445"/>
              <w:jc w:val="right"/>
            </w:pPr>
            <w:r>
              <w:t>9.8</w:t>
            </w:r>
            <w:r w:rsidR="006416AF" w:rsidRPr="00D460C9">
              <w:t>%</w:t>
            </w:r>
          </w:p>
        </w:tc>
      </w:tr>
      <w:tr w:rsidR="006416AF" w:rsidRPr="00C41C9C" w14:paraId="021A4F8C" w14:textId="77777777" w:rsidTr="00DF411E">
        <w:trPr>
          <w:trHeight w:val="288"/>
          <w:jc w:val="center"/>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2C22DD52" w14:textId="77777777" w:rsidR="006416AF" w:rsidRPr="00C41C9C" w:rsidRDefault="006416AF" w:rsidP="00DF411E">
            <w:pPr>
              <w:spacing w:line="252" w:lineRule="auto"/>
              <w:ind w:left="62" w:right="51"/>
            </w:pPr>
            <w:r w:rsidRPr="00C41C9C">
              <w:t>Waukesha</w:t>
            </w: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tcPr>
          <w:p w14:paraId="509162D0" w14:textId="52F82FA9" w:rsidR="006416AF" w:rsidRPr="0031621B" w:rsidRDefault="006416AF" w:rsidP="00DF411E">
            <w:pPr>
              <w:spacing w:line="252" w:lineRule="auto"/>
              <w:ind w:left="44" w:right="62"/>
            </w:pPr>
            <w:r w:rsidRPr="000155DE">
              <w:t>$</w:t>
            </w:r>
            <w:r w:rsidR="00AE3EB4">
              <w:t>351,902</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tcPr>
          <w:p w14:paraId="74889F19" w14:textId="7495FABA" w:rsidR="006416AF" w:rsidRPr="0031621B" w:rsidRDefault="006416AF" w:rsidP="00DF411E">
            <w:pPr>
              <w:spacing w:line="252" w:lineRule="auto"/>
              <w:ind w:right="-23"/>
            </w:pPr>
            <w:r>
              <w:t>$</w:t>
            </w:r>
            <w:r w:rsidR="00AE3EB4">
              <w:t>391,832</w:t>
            </w:r>
          </w:p>
        </w:tc>
        <w:tc>
          <w:tcPr>
            <w:tcW w:w="1270" w:type="dxa"/>
            <w:tcBorders>
              <w:top w:val="nil"/>
              <w:left w:val="nil"/>
              <w:bottom w:val="nil"/>
              <w:right w:val="nil"/>
            </w:tcBorders>
            <w:shd w:val="clear" w:color="auto" w:fill="DEEAF6" w:themeFill="accent1" w:themeFillTint="33"/>
          </w:tcPr>
          <w:p w14:paraId="384C849C" w14:textId="76ECD522" w:rsidR="006416AF" w:rsidRPr="0031621B" w:rsidRDefault="006416AF" w:rsidP="00DF411E">
            <w:pPr>
              <w:spacing w:line="252" w:lineRule="auto"/>
              <w:ind w:left="89" w:right="232"/>
              <w:jc w:val="right"/>
            </w:pPr>
            <w:r w:rsidRPr="00D460C9">
              <w:t>$</w:t>
            </w:r>
            <w:r w:rsidR="00AE3EB4">
              <w:t>39,930</w:t>
            </w:r>
          </w:p>
        </w:tc>
        <w:tc>
          <w:tcPr>
            <w:tcW w:w="1247" w:type="dxa"/>
            <w:tcBorders>
              <w:top w:val="nil"/>
              <w:left w:val="nil"/>
              <w:bottom w:val="nil"/>
              <w:right w:val="nil"/>
            </w:tcBorders>
            <w:shd w:val="clear" w:color="auto" w:fill="DEEAF6" w:themeFill="accent1" w:themeFillTint="33"/>
          </w:tcPr>
          <w:p w14:paraId="6A881854" w14:textId="4ABCE548" w:rsidR="006416AF" w:rsidRPr="00C41C9C" w:rsidRDefault="00AE3EB4" w:rsidP="00DF411E">
            <w:pPr>
              <w:spacing w:line="252" w:lineRule="auto"/>
              <w:ind w:right="445"/>
              <w:jc w:val="right"/>
            </w:pPr>
            <w:r>
              <w:t>11.3</w:t>
            </w:r>
            <w:r w:rsidR="006416AF" w:rsidRPr="00D460C9">
              <w:t>%</w:t>
            </w:r>
          </w:p>
        </w:tc>
      </w:tr>
      <w:tr w:rsidR="006416AF" w:rsidRPr="00C41C9C" w14:paraId="60E77BF1" w14:textId="77777777" w:rsidTr="00DF411E">
        <w:trPr>
          <w:trHeight w:val="288"/>
          <w:jc w:val="center"/>
        </w:trPr>
        <w:tc>
          <w:tcPr>
            <w:tcW w:w="1731" w:type="dxa"/>
            <w:tcBorders>
              <w:top w:val="nil"/>
              <w:left w:val="nil"/>
              <w:bottom w:val="nil"/>
              <w:right w:val="nil"/>
            </w:tcBorders>
            <w:shd w:val="clear" w:color="auto" w:fill="auto"/>
            <w:tcMar>
              <w:top w:w="0" w:type="dxa"/>
              <w:left w:w="108" w:type="dxa"/>
              <w:bottom w:w="0" w:type="dxa"/>
              <w:right w:w="108" w:type="dxa"/>
            </w:tcMar>
            <w:vAlign w:val="center"/>
            <w:hideMark/>
          </w:tcPr>
          <w:p w14:paraId="466A5918" w14:textId="77777777" w:rsidR="006416AF" w:rsidRPr="00C41C9C" w:rsidRDefault="006416AF" w:rsidP="00DF411E">
            <w:pPr>
              <w:spacing w:line="252" w:lineRule="auto"/>
              <w:ind w:left="62" w:right="51"/>
            </w:pPr>
            <w:r w:rsidRPr="00C41C9C">
              <w:t>Washington</w:t>
            </w:r>
          </w:p>
        </w:tc>
        <w:tc>
          <w:tcPr>
            <w:tcW w:w="1269" w:type="dxa"/>
            <w:tcBorders>
              <w:top w:val="nil"/>
              <w:left w:val="nil"/>
              <w:bottom w:val="nil"/>
              <w:right w:val="nil"/>
            </w:tcBorders>
            <w:shd w:val="clear" w:color="auto" w:fill="auto"/>
            <w:tcMar>
              <w:top w:w="0" w:type="dxa"/>
              <w:left w:w="108" w:type="dxa"/>
              <w:bottom w:w="0" w:type="dxa"/>
              <w:right w:w="108" w:type="dxa"/>
            </w:tcMar>
          </w:tcPr>
          <w:p w14:paraId="78E8C024" w14:textId="0E541DF8" w:rsidR="006416AF" w:rsidRPr="0031621B" w:rsidRDefault="006416AF" w:rsidP="00DF411E">
            <w:pPr>
              <w:spacing w:line="252" w:lineRule="auto"/>
              <w:ind w:left="44" w:right="62"/>
            </w:pPr>
            <w:r w:rsidRPr="000155DE">
              <w:t>$</w:t>
            </w:r>
            <w:r w:rsidR="00AE3EB4">
              <w:t>274,810</w:t>
            </w:r>
          </w:p>
        </w:tc>
        <w:tc>
          <w:tcPr>
            <w:tcW w:w="1052" w:type="dxa"/>
            <w:tcBorders>
              <w:top w:val="nil"/>
              <w:left w:val="nil"/>
              <w:bottom w:val="nil"/>
              <w:right w:val="nil"/>
            </w:tcBorders>
            <w:shd w:val="clear" w:color="auto" w:fill="auto"/>
            <w:tcMar>
              <w:top w:w="0" w:type="dxa"/>
              <w:left w:w="108" w:type="dxa"/>
              <w:bottom w:w="0" w:type="dxa"/>
              <w:right w:w="108" w:type="dxa"/>
            </w:tcMar>
          </w:tcPr>
          <w:p w14:paraId="14200E6E" w14:textId="15FCB374" w:rsidR="006416AF" w:rsidRPr="0031621B" w:rsidRDefault="006416AF" w:rsidP="00DF411E">
            <w:pPr>
              <w:spacing w:line="252" w:lineRule="auto"/>
              <w:ind w:right="-23"/>
            </w:pPr>
            <w:r>
              <w:t>$</w:t>
            </w:r>
            <w:r w:rsidR="00AE3EB4">
              <w:t>293,756</w:t>
            </w:r>
          </w:p>
        </w:tc>
        <w:tc>
          <w:tcPr>
            <w:tcW w:w="1270" w:type="dxa"/>
            <w:tcBorders>
              <w:top w:val="nil"/>
              <w:left w:val="nil"/>
              <w:bottom w:val="nil"/>
              <w:right w:val="nil"/>
            </w:tcBorders>
            <w:shd w:val="clear" w:color="auto" w:fill="auto"/>
          </w:tcPr>
          <w:p w14:paraId="2CD6546D" w14:textId="3CD70CF2" w:rsidR="006416AF" w:rsidRPr="0031621B" w:rsidRDefault="006416AF" w:rsidP="00DF411E">
            <w:pPr>
              <w:spacing w:line="252" w:lineRule="auto"/>
              <w:ind w:left="89" w:right="232"/>
              <w:jc w:val="right"/>
            </w:pPr>
            <w:r w:rsidRPr="00D460C9">
              <w:t>$</w:t>
            </w:r>
            <w:r w:rsidR="00AE3EB4">
              <w:t>18,946</w:t>
            </w:r>
          </w:p>
        </w:tc>
        <w:tc>
          <w:tcPr>
            <w:tcW w:w="1247" w:type="dxa"/>
            <w:tcBorders>
              <w:top w:val="nil"/>
              <w:left w:val="nil"/>
              <w:bottom w:val="nil"/>
              <w:right w:val="nil"/>
            </w:tcBorders>
          </w:tcPr>
          <w:p w14:paraId="3571917F" w14:textId="0B877B6E" w:rsidR="006416AF" w:rsidRPr="00C41C9C" w:rsidRDefault="00AE3EB4" w:rsidP="00DF411E">
            <w:pPr>
              <w:spacing w:line="252" w:lineRule="auto"/>
              <w:ind w:right="445"/>
              <w:jc w:val="right"/>
            </w:pPr>
            <w:r>
              <w:t>6.9</w:t>
            </w:r>
            <w:r w:rsidR="006416AF" w:rsidRPr="00D460C9">
              <w:t>%</w:t>
            </w:r>
          </w:p>
        </w:tc>
      </w:tr>
      <w:tr w:rsidR="006416AF" w:rsidRPr="00C41C9C" w14:paraId="27E9574D" w14:textId="77777777" w:rsidTr="00DF411E">
        <w:trPr>
          <w:trHeight w:val="288"/>
          <w:jc w:val="center"/>
        </w:trPr>
        <w:tc>
          <w:tcPr>
            <w:tcW w:w="1731"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2B8ABF58" w14:textId="77777777" w:rsidR="006416AF" w:rsidRPr="006D22A4" w:rsidRDefault="006416AF" w:rsidP="00DF411E">
            <w:pPr>
              <w:spacing w:line="252" w:lineRule="auto"/>
              <w:ind w:left="62" w:right="51"/>
            </w:pPr>
            <w:r w:rsidRPr="006D22A4">
              <w:t>Ozaukee</w:t>
            </w:r>
          </w:p>
        </w:tc>
        <w:tc>
          <w:tcPr>
            <w:tcW w:w="126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04DB50F0" w14:textId="0BB80C3A" w:rsidR="006416AF" w:rsidRPr="0031621B" w:rsidRDefault="006416AF" w:rsidP="00DF411E">
            <w:pPr>
              <w:spacing w:line="252" w:lineRule="auto"/>
              <w:ind w:left="44" w:right="62"/>
            </w:pPr>
            <w:r w:rsidRPr="000155DE">
              <w:t>$</w:t>
            </w:r>
            <w:r w:rsidR="00AE3EB4">
              <w:t>364,321</w:t>
            </w:r>
          </w:p>
        </w:tc>
        <w:tc>
          <w:tcPr>
            <w:tcW w:w="1052"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tcPr>
          <w:p w14:paraId="6CBCC2FA" w14:textId="659875FD" w:rsidR="006416AF" w:rsidRPr="0031621B" w:rsidRDefault="006416AF" w:rsidP="00DF411E">
            <w:pPr>
              <w:spacing w:line="252" w:lineRule="auto"/>
              <w:ind w:right="-23"/>
            </w:pPr>
            <w:r>
              <w:t>$</w:t>
            </w:r>
            <w:r w:rsidR="00AE3EB4">
              <w:t>388,973</w:t>
            </w:r>
          </w:p>
        </w:tc>
        <w:tc>
          <w:tcPr>
            <w:tcW w:w="1270" w:type="dxa"/>
            <w:tcBorders>
              <w:top w:val="nil"/>
              <w:left w:val="nil"/>
              <w:bottom w:val="nil"/>
              <w:right w:val="nil"/>
            </w:tcBorders>
            <w:shd w:val="clear" w:color="auto" w:fill="DEEAF6" w:themeFill="accent1" w:themeFillTint="33"/>
          </w:tcPr>
          <w:p w14:paraId="2090EF14" w14:textId="038AE66B" w:rsidR="006416AF" w:rsidRPr="0031621B" w:rsidRDefault="006416AF" w:rsidP="00DF411E">
            <w:pPr>
              <w:spacing w:line="252" w:lineRule="auto"/>
              <w:ind w:left="89" w:right="232"/>
              <w:jc w:val="right"/>
            </w:pPr>
            <w:r w:rsidRPr="00D460C9">
              <w:t>$</w:t>
            </w:r>
            <w:r w:rsidR="00AE3EB4">
              <w:t>24,652</w:t>
            </w:r>
          </w:p>
        </w:tc>
        <w:tc>
          <w:tcPr>
            <w:tcW w:w="1247" w:type="dxa"/>
            <w:tcBorders>
              <w:top w:val="nil"/>
              <w:left w:val="nil"/>
              <w:bottom w:val="nil"/>
              <w:right w:val="nil"/>
            </w:tcBorders>
            <w:shd w:val="clear" w:color="auto" w:fill="DEEAF6" w:themeFill="accent1" w:themeFillTint="33"/>
          </w:tcPr>
          <w:p w14:paraId="73308849" w14:textId="1D5F3CF0" w:rsidR="006416AF" w:rsidRPr="006D22A4" w:rsidRDefault="00AE3EB4" w:rsidP="00DF411E">
            <w:pPr>
              <w:spacing w:line="252" w:lineRule="auto"/>
              <w:ind w:right="445"/>
              <w:jc w:val="right"/>
            </w:pPr>
            <w:r>
              <w:t>6.8</w:t>
            </w:r>
            <w:r w:rsidR="006416AF" w:rsidRPr="00D460C9">
              <w:t>%</w:t>
            </w:r>
          </w:p>
        </w:tc>
      </w:tr>
      <w:tr w:rsidR="006416AF" w:rsidRPr="00C41C9C" w14:paraId="0B45BF61" w14:textId="77777777" w:rsidTr="00DF411E">
        <w:trPr>
          <w:trHeight w:val="288"/>
          <w:jc w:val="center"/>
        </w:trPr>
        <w:tc>
          <w:tcPr>
            <w:tcW w:w="1731"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3DC6E556" w14:textId="52933C52" w:rsidR="006416AF" w:rsidRPr="00AE3EB4" w:rsidRDefault="006416AF" w:rsidP="00DF411E">
            <w:pPr>
              <w:spacing w:line="252" w:lineRule="auto"/>
              <w:ind w:left="62" w:right="51"/>
              <w:rPr>
                <w:sz w:val="21"/>
                <w:szCs w:val="21"/>
              </w:rPr>
            </w:pPr>
            <w:r w:rsidRPr="00AE3EB4">
              <w:rPr>
                <w:sz w:val="21"/>
                <w:szCs w:val="21"/>
              </w:rPr>
              <w:t>Metro Area</w:t>
            </w:r>
            <w:r w:rsidR="005478AC" w:rsidRPr="00AE3EB4">
              <w:rPr>
                <w:sz w:val="21"/>
                <w:szCs w:val="21"/>
              </w:rPr>
              <w:t xml:space="preserve"> Avg</w:t>
            </w:r>
          </w:p>
        </w:tc>
        <w:tc>
          <w:tcPr>
            <w:tcW w:w="1269" w:type="dxa"/>
            <w:tcBorders>
              <w:top w:val="single" w:sz="4" w:space="0" w:color="auto"/>
              <w:left w:val="nil"/>
              <w:bottom w:val="nil"/>
              <w:right w:val="nil"/>
            </w:tcBorders>
            <w:shd w:val="clear" w:color="auto" w:fill="auto"/>
            <w:tcMar>
              <w:top w:w="0" w:type="dxa"/>
              <w:left w:w="108" w:type="dxa"/>
              <w:bottom w:w="0" w:type="dxa"/>
              <w:right w:w="108" w:type="dxa"/>
            </w:tcMar>
          </w:tcPr>
          <w:p w14:paraId="1258EF35" w14:textId="73357BA1" w:rsidR="006416AF" w:rsidRPr="0031621B" w:rsidRDefault="006416AF" w:rsidP="00DF411E">
            <w:pPr>
              <w:spacing w:line="252" w:lineRule="auto"/>
              <w:ind w:left="44" w:right="62"/>
            </w:pPr>
            <w:r w:rsidRPr="000155DE">
              <w:t>$</w:t>
            </w:r>
            <w:r w:rsidR="00AE3EB4">
              <w:t>297,715</w:t>
            </w:r>
          </w:p>
        </w:tc>
        <w:tc>
          <w:tcPr>
            <w:tcW w:w="1052" w:type="dxa"/>
            <w:tcBorders>
              <w:top w:val="single" w:sz="4" w:space="0" w:color="auto"/>
              <w:left w:val="nil"/>
              <w:bottom w:val="nil"/>
              <w:right w:val="nil"/>
            </w:tcBorders>
            <w:shd w:val="clear" w:color="auto" w:fill="auto"/>
            <w:tcMar>
              <w:top w:w="0" w:type="dxa"/>
              <w:left w:w="108" w:type="dxa"/>
              <w:bottom w:w="0" w:type="dxa"/>
              <w:right w:w="108" w:type="dxa"/>
            </w:tcMar>
          </w:tcPr>
          <w:p w14:paraId="78DD8B5C" w14:textId="1241ECBE" w:rsidR="006416AF" w:rsidRPr="0031621B" w:rsidRDefault="006416AF" w:rsidP="00DF411E">
            <w:pPr>
              <w:spacing w:line="252" w:lineRule="auto"/>
              <w:ind w:right="-23"/>
            </w:pPr>
            <w:r>
              <w:t>$</w:t>
            </w:r>
            <w:r w:rsidR="00AE3EB4">
              <w:t>323,510</w:t>
            </w:r>
          </w:p>
        </w:tc>
        <w:tc>
          <w:tcPr>
            <w:tcW w:w="1270" w:type="dxa"/>
            <w:tcBorders>
              <w:top w:val="nil"/>
              <w:left w:val="nil"/>
              <w:bottom w:val="nil"/>
              <w:right w:val="nil"/>
            </w:tcBorders>
            <w:shd w:val="clear" w:color="auto" w:fill="auto"/>
          </w:tcPr>
          <w:p w14:paraId="663830B8" w14:textId="0AB8EAAC" w:rsidR="006416AF" w:rsidRPr="0031621B" w:rsidRDefault="006416AF" w:rsidP="00DF411E">
            <w:pPr>
              <w:spacing w:line="252" w:lineRule="auto"/>
              <w:ind w:left="89" w:right="232"/>
              <w:jc w:val="right"/>
            </w:pPr>
            <w:r w:rsidRPr="00D460C9">
              <w:t>$</w:t>
            </w:r>
            <w:r w:rsidR="00AE3EB4">
              <w:t>25,795</w:t>
            </w:r>
          </w:p>
        </w:tc>
        <w:tc>
          <w:tcPr>
            <w:tcW w:w="1247" w:type="dxa"/>
            <w:tcBorders>
              <w:top w:val="nil"/>
              <w:left w:val="nil"/>
              <w:bottom w:val="nil"/>
              <w:right w:val="nil"/>
            </w:tcBorders>
          </w:tcPr>
          <w:p w14:paraId="14B1FD0E" w14:textId="407334AD" w:rsidR="006416AF" w:rsidRPr="00C41C9C" w:rsidRDefault="00AE3EB4" w:rsidP="00DF411E">
            <w:pPr>
              <w:spacing w:line="252" w:lineRule="auto"/>
              <w:ind w:right="445"/>
              <w:jc w:val="right"/>
            </w:pPr>
            <w:r>
              <w:t>8.7</w:t>
            </w:r>
            <w:r w:rsidR="006416AF" w:rsidRPr="00D460C9">
              <w:t>%</w:t>
            </w:r>
          </w:p>
        </w:tc>
      </w:tr>
      <w:tr w:rsidR="006416AF" w:rsidRPr="00C41C9C" w14:paraId="7895178A" w14:textId="77777777" w:rsidTr="00DF411E">
        <w:trPr>
          <w:trHeight w:val="179"/>
          <w:jc w:val="center"/>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DCBB60C" w14:textId="77777777" w:rsidR="006416AF" w:rsidRPr="00156337" w:rsidRDefault="006416AF" w:rsidP="00DF411E">
            <w:pPr>
              <w:spacing w:line="252" w:lineRule="auto"/>
              <w:ind w:left="62" w:right="51"/>
              <w:rPr>
                <w:sz w:val="10"/>
                <w:szCs w:val="10"/>
              </w:rPr>
            </w:pP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B139A9D" w14:textId="77777777" w:rsidR="006416AF" w:rsidRPr="00156337" w:rsidRDefault="006416AF" w:rsidP="00DF411E">
            <w:pPr>
              <w:spacing w:line="252" w:lineRule="auto"/>
              <w:ind w:left="44" w:right="62"/>
              <w:rPr>
                <w:sz w:val="10"/>
                <w:szCs w:val="10"/>
              </w:rPr>
            </w:pP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A1F51FA" w14:textId="77777777" w:rsidR="006416AF" w:rsidRPr="00156337" w:rsidRDefault="006416AF" w:rsidP="00DF411E">
            <w:pPr>
              <w:spacing w:line="252" w:lineRule="auto"/>
              <w:ind w:right="-23"/>
              <w:rPr>
                <w:sz w:val="10"/>
                <w:szCs w:val="10"/>
              </w:rPr>
            </w:pPr>
          </w:p>
        </w:tc>
        <w:tc>
          <w:tcPr>
            <w:tcW w:w="1270" w:type="dxa"/>
            <w:tcBorders>
              <w:top w:val="nil"/>
              <w:left w:val="nil"/>
              <w:bottom w:val="nil"/>
              <w:right w:val="nil"/>
            </w:tcBorders>
            <w:shd w:val="clear" w:color="auto" w:fill="DEEAF6" w:themeFill="accent1" w:themeFillTint="33"/>
            <w:vAlign w:val="center"/>
          </w:tcPr>
          <w:p w14:paraId="3E98AE99" w14:textId="77777777" w:rsidR="006416AF" w:rsidRPr="00156337" w:rsidRDefault="006416AF" w:rsidP="00DF411E">
            <w:pPr>
              <w:spacing w:line="252" w:lineRule="auto"/>
              <w:ind w:left="89" w:right="232"/>
              <w:jc w:val="right"/>
              <w:rPr>
                <w:sz w:val="10"/>
                <w:szCs w:val="10"/>
              </w:rPr>
            </w:pPr>
          </w:p>
        </w:tc>
        <w:tc>
          <w:tcPr>
            <w:tcW w:w="1247" w:type="dxa"/>
            <w:tcBorders>
              <w:top w:val="nil"/>
              <w:left w:val="nil"/>
              <w:bottom w:val="nil"/>
              <w:right w:val="nil"/>
            </w:tcBorders>
            <w:shd w:val="clear" w:color="auto" w:fill="DEEAF6" w:themeFill="accent1" w:themeFillTint="33"/>
            <w:vAlign w:val="center"/>
          </w:tcPr>
          <w:p w14:paraId="026F0811" w14:textId="77777777" w:rsidR="006416AF" w:rsidRPr="00156337" w:rsidRDefault="006416AF" w:rsidP="00DF411E">
            <w:pPr>
              <w:spacing w:line="252" w:lineRule="auto"/>
              <w:ind w:right="445"/>
              <w:jc w:val="right"/>
              <w:rPr>
                <w:sz w:val="10"/>
                <w:szCs w:val="10"/>
              </w:rPr>
            </w:pPr>
          </w:p>
        </w:tc>
      </w:tr>
      <w:tr w:rsidR="006416AF" w:rsidRPr="00C41C9C" w14:paraId="64D65C7F" w14:textId="77777777" w:rsidTr="00DF411E">
        <w:trPr>
          <w:trHeight w:val="288"/>
          <w:jc w:val="center"/>
        </w:trPr>
        <w:tc>
          <w:tcPr>
            <w:tcW w:w="1731" w:type="dxa"/>
            <w:tcBorders>
              <w:top w:val="nil"/>
              <w:left w:val="nil"/>
              <w:bottom w:val="nil"/>
              <w:right w:val="nil"/>
            </w:tcBorders>
            <w:shd w:val="clear" w:color="auto" w:fill="auto"/>
            <w:tcMar>
              <w:top w:w="0" w:type="dxa"/>
              <w:left w:w="108" w:type="dxa"/>
              <w:bottom w:w="0" w:type="dxa"/>
              <w:right w:w="108" w:type="dxa"/>
            </w:tcMar>
            <w:vAlign w:val="center"/>
          </w:tcPr>
          <w:p w14:paraId="0AB4FF27" w14:textId="77777777" w:rsidR="006416AF" w:rsidRPr="00C41C9C" w:rsidRDefault="006416AF" w:rsidP="00DF411E">
            <w:pPr>
              <w:spacing w:line="252" w:lineRule="auto"/>
              <w:ind w:left="62" w:right="51"/>
            </w:pPr>
            <w:r>
              <w:t>Racine</w:t>
            </w:r>
          </w:p>
        </w:tc>
        <w:tc>
          <w:tcPr>
            <w:tcW w:w="1269" w:type="dxa"/>
            <w:tcBorders>
              <w:top w:val="nil"/>
              <w:left w:val="nil"/>
              <w:bottom w:val="nil"/>
              <w:right w:val="nil"/>
            </w:tcBorders>
            <w:shd w:val="clear" w:color="auto" w:fill="auto"/>
            <w:tcMar>
              <w:top w:w="0" w:type="dxa"/>
              <w:left w:w="108" w:type="dxa"/>
              <w:bottom w:w="0" w:type="dxa"/>
              <w:right w:w="108" w:type="dxa"/>
            </w:tcMar>
          </w:tcPr>
          <w:p w14:paraId="5CAD2281" w14:textId="3F6C80EF" w:rsidR="006416AF" w:rsidRDefault="006416AF" w:rsidP="00DF411E">
            <w:pPr>
              <w:spacing w:line="252" w:lineRule="auto"/>
              <w:ind w:left="44" w:right="62"/>
            </w:pPr>
            <w:r w:rsidRPr="003F43D5">
              <w:t>$</w:t>
            </w:r>
            <w:r w:rsidR="00AE3EB4">
              <w:t>215,208</w:t>
            </w:r>
          </w:p>
        </w:tc>
        <w:tc>
          <w:tcPr>
            <w:tcW w:w="1052" w:type="dxa"/>
            <w:tcBorders>
              <w:top w:val="nil"/>
              <w:left w:val="nil"/>
              <w:bottom w:val="nil"/>
              <w:right w:val="nil"/>
            </w:tcBorders>
            <w:shd w:val="clear" w:color="auto" w:fill="auto"/>
            <w:tcMar>
              <w:top w:w="0" w:type="dxa"/>
              <w:left w:w="108" w:type="dxa"/>
              <w:bottom w:w="0" w:type="dxa"/>
              <w:right w:w="108" w:type="dxa"/>
            </w:tcMar>
          </w:tcPr>
          <w:p w14:paraId="79119690" w14:textId="13EA13EE" w:rsidR="006416AF" w:rsidRDefault="006416AF" w:rsidP="00DF411E">
            <w:pPr>
              <w:spacing w:line="252" w:lineRule="auto"/>
              <w:ind w:right="-23"/>
            </w:pPr>
            <w:r>
              <w:t>$</w:t>
            </w:r>
            <w:r w:rsidR="00AE3EB4">
              <w:t>226,203</w:t>
            </w:r>
          </w:p>
        </w:tc>
        <w:tc>
          <w:tcPr>
            <w:tcW w:w="1270" w:type="dxa"/>
            <w:tcBorders>
              <w:top w:val="nil"/>
              <w:left w:val="nil"/>
              <w:bottom w:val="nil"/>
              <w:right w:val="nil"/>
            </w:tcBorders>
            <w:shd w:val="clear" w:color="auto" w:fill="auto"/>
          </w:tcPr>
          <w:p w14:paraId="32C9FB23" w14:textId="7E638DD5" w:rsidR="006416AF" w:rsidRDefault="006416AF" w:rsidP="00DF411E">
            <w:pPr>
              <w:spacing w:line="252" w:lineRule="auto"/>
              <w:ind w:left="89" w:right="232"/>
              <w:jc w:val="right"/>
            </w:pPr>
            <w:r w:rsidRPr="00BF14B4">
              <w:t>$</w:t>
            </w:r>
            <w:r w:rsidR="00AE3EB4">
              <w:t>10,995</w:t>
            </w:r>
          </w:p>
        </w:tc>
        <w:tc>
          <w:tcPr>
            <w:tcW w:w="1247" w:type="dxa"/>
            <w:tcBorders>
              <w:top w:val="nil"/>
              <w:left w:val="nil"/>
              <w:bottom w:val="nil"/>
              <w:right w:val="nil"/>
            </w:tcBorders>
          </w:tcPr>
          <w:p w14:paraId="09B44C0E" w14:textId="1B8318BD" w:rsidR="006416AF" w:rsidRDefault="00AE3EB4" w:rsidP="00DF411E">
            <w:pPr>
              <w:spacing w:line="252" w:lineRule="auto"/>
              <w:ind w:right="445"/>
              <w:jc w:val="right"/>
            </w:pPr>
            <w:r>
              <w:t>5.1</w:t>
            </w:r>
            <w:r w:rsidR="006416AF" w:rsidRPr="00BF14B4">
              <w:t>%</w:t>
            </w:r>
          </w:p>
        </w:tc>
      </w:tr>
      <w:tr w:rsidR="006416AF" w:rsidRPr="00C41C9C" w14:paraId="647B6570" w14:textId="77777777" w:rsidTr="00DF411E">
        <w:trPr>
          <w:trHeight w:val="288"/>
          <w:jc w:val="center"/>
        </w:trPr>
        <w:tc>
          <w:tcPr>
            <w:tcW w:w="1731"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EA762CF" w14:textId="77777777" w:rsidR="006416AF" w:rsidRDefault="006416AF" w:rsidP="00DF411E">
            <w:pPr>
              <w:spacing w:line="252" w:lineRule="auto"/>
              <w:ind w:left="62" w:right="51"/>
            </w:pPr>
            <w:r>
              <w:t>Kenosha</w:t>
            </w:r>
          </w:p>
        </w:tc>
        <w:tc>
          <w:tcPr>
            <w:tcW w:w="1269" w:type="dxa"/>
            <w:tcBorders>
              <w:top w:val="nil"/>
              <w:left w:val="nil"/>
              <w:bottom w:val="nil"/>
              <w:right w:val="nil"/>
            </w:tcBorders>
            <w:shd w:val="clear" w:color="auto" w:fill="DEEAF6" w:themeFill="accent1" w:themeFillTint="33"/>
            <w:tcMar>
              <w:top w:w="0" w:type="dxa"/>
              <w:left w:w="108" w:type="dxa"/>
              <w:bottom w:w="0" w:type="dxa"/>
              <w:right w:w="108" w:type="dxa"/>
            </w:tcMar>
          </w:tcPr>
          <w:p w14:paraId="46865D8A" w14:textId="52CAF05D" w:rsidR="006416AF" w:rsidRDefault="006416AF" w:rsidP="00DF411E">
            <w:pPr>
              <w:spacing w:line="252" w:lineRule="auto"/>
              <w:ind w:left="44" w:right="62"/>
            </w:pPr>
            <w:r w:rsidRPr="003F43D5">
              <w:t>$</w:t>
            </w:r>
            <w:r w:rsidR="00AE3EB4">
              <w:t>228,572</w:t>
            </w:r>
          </w:p>
        </w:tc>
        <w:tc>
          <w:tcPr>
            <w:tcW w:w="1052" w:type="dxa"/>
            <w:tcBorders>
              <w:top w:val="nil"/>
              <w:left w:val="nil"/>
              <w:bottom w:val="nil"/>
              <w:right w:val="nil"/>
            </w:tcBorders>
            <w:shd w:val="clear" w:color="auto" w:fill="DEEAF6" w:themeFill="accent1" w:themeFillTint="33"/>
            <w:tcMar>
              <w:top w:w="0" w:type="dxa"/>
              <w:left w:w="108" w:type="dxa"/>
              <w:bottom w:w="0" w:type="dxa"/>
              <w:right w:w="108" w:type="dxa"/>
            </w:tcMar>
          </w:tcPr>
          <w:p w14:paraId="2BBF55C5" w14:textId="15AD4B69" w:rsidR="006416AF" w:rsidRDefault="006416AF" w:rsidP="00DF411E">
            <w:pPr>
              <w:spacing w:line="252" w:lineRule="auto"/>
              <w:ind w:right="-23"/>
            </w:pPr>
            <w:r>
              <w:t>$</w:t>
            </w:r>
            <w:r w:rsidR="00AE3EB4">
              <w:t>246,837</w:t>
            </w:r>
          </w:p>
        </w:tc>
        <w:tc>
          <w:tcPr>
            <w:tcW w:w="1270" w:type="dxa"/>
            <w:tcBorders>
              <w:top w:val="nil"/>
              <w:left w:val="nil"/>
              <w:bottom w:val="nil"/>
              <w:right w:val="nil"/>
            </w:tcBorders>
            <w:shd w:val="clear" w:color="auto" w:fill="DEEAF6" w:themeFill="accent1" w:themeFillTint="33"/>
          </w:tcPr>
          <w:p w14:paraId="664A29DA" w14:textId="59507349" w:rsidR="006416AF" w:rsidRDefault="006416AF" w:rsidP="00DF411E">
            <w:pPr>
              <w:spacing w:line="252" w:lineRule="auto"/>
              <w:ind w:left="89" w:right="232"/>
              <w:jc w:val="right"/>
            </w:pPr>
            <w:r w:rsidRPr="00BF14B4">
              <w:t>$</w:t>
            </w:r>
            <w:r w:rsidR="00AE3EB4">
              <w:t>18,265</w:t>
            </w:r>
          </w:p>
        </w:tc>
        <w:tc>
          <w:tcPr>
            <w:tcW w:w="1247" w:type="dxa"/>
            <w:tcBorders>
              <w:top w:val="nil"/>
              <w:left w:val="nil"/>
              <w:bottom w:val="nil"/>
              <w:right w:val="nil"/>
            </w:tcBorders>
            <w:shd w:val="clear" w:color="auto" w:fill="DEEAF6" w:themeFill="accent1" w:themeFillTint="33"/>
          </w:tcPr>
          <w:p w14:paraId="46346E61" w14:textId="2C448A57" w:rsidR="006416AF" w:rsidRDefault="00AE3EB4" w:rsidP="00DF411E">
            <w:pPr>
              <w:spacing w:line="252" w:lineRule="auto"/>
              <w:ind w:right="445"/>
              <w:jc w:val="right"/>
            </w:pPr>
            <w:r>
              <w:t>8.0</w:t>
            </w:r>
            <w:r w:rsidR="006416AF" w:rsidRPr="00BF14B4">
              <w:t>%</w:t>
            </w:r>
          </w:p>
        </w:tc>
      </w:tr>
      <w:tr w:rsidR="006416AF" w:rsidRPr="00C41C9C" w14:paraId="469B7517" w14:textId="77777777" w:rsidTr="00DF411E">
        <w:trPr>
          <w:trHeight w:val="288"/>
          <w:jc w:val="center"/>
        </w:trPr>
        <w:tc>
          <w:tcPr>
            <w:tcW w:w="1731"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CEF7099" w14:textId="77777777" w:rsidR="006416AF" w:rsidRDefault="006416AF" w:rsidP="00DF411E">
            <w:pPr>
              <w:spacing w:line="252" w:lineRule="auto"/>
              <w:ind w:left="62" w:right="51"/>
            </w:pPr>
            <w:r>
              <w:t>Walworth</w:t>
            </w:r>
          </w:p>
        </w:tc>
        <w:tc>
          <w:tcPr>
            <w:tcW w:w="1269" w:type="dxa"/>
            <w:tcBorders>
              <w:top w:val="nil"/>
              <w:left w:val="nil"/>
              <w:bottom w:val="single" w:sz="4" w:space="0" w:color="auto"/>
              <w:right w:val="nil"/>
            </w:tcBorders>
            <w:shd w:val="clear" w:color="auto" w:fill="auto"/>
            <w:tcMar>
              <w:top w:w="0" w:type="dxa"/>
              <w:left w:w="108" w:type="dxa"/>
              <w:bottom w:w="0" w:type="dxa"/>
              <w:right w:w="108" w:type="dxa"/>
            </w:tcMar>
          </w:tcPr>
          <w:p w14:paraId="38BF818A" w14:textId="5D495BE5" w:rsidR="006416AF" w:rsidRDefault="006416AF" w:rsidP="00DF411E">
            <w:pPr>
              <w:spacing w:line="252" w:lineRule="auto"/>
              <w:ind w:left="44" w:right="62"/>
            </w:pPr>
            <w:r w:rsidRPr="003F43D5">
              <w:t>$</w:t>
            </w:r>
            <w:r w:rsidR="00AE3EB4">
              <w:t>305,568</w:t>
            </w:r>
          </w:p>
        </w:tc>
        <w:tc>
          <w:tcPr>
            <w:tcW w:w="1052" w:type="dxa"/>
            <w:tcBorders>
              <w:top w:val="nil"/>
              <w:left w:val="nil"/>
              <w:bottom w:val="single" w:sz="4" w:space="0" w:color="auto"/>
              <w:right w:val="nil"/>
            </w:tcBorders>
            <w:shd w:val="clear" w:color="auto" w:fill="auto"/>
            <w:tcMar>
              <w:top w:w="0" w:type="dxa"/>
              <w:left w:w="108" w:type="dxa"/>
              <w:bottom w:w="0" w:type="dxa"/>
              <w:right w:w="108" w:type="dxa"/>
            </w:tcMar>
          </w:tcPr>
          <w:p w14:paraId="25D94A99" w14:textId="37B13EFA" w:rsidR="006416AF" w:rsidRDefault="006416AF" w:rsidP="00DF411E">
            <w:pPr>
              <w:spacing w:line="252" w:lineRule="auto"/>
              <w:ind w:right="-23"/>
            </w:pPr>
            <w:r>
              <w:t>$</w:t>
            </w:r>
            <w:r w:rsidR="00AE3EB4">
              <w:t>377,146</w:t>
            </w:r>
          </w:p>
        </w:tc>
        <w:tc>
          <w:tcPr>
            <w:tcW w:w="1270" w:type="dxa"/>
            <w:tcBorders>
              <w:top w:val="nil"/>
              <w:left w:val="nil"/>
              <w:bottom w:val="nil"/>
              <w:right w:val="nil"/>
            </w:tcBorders>
            <w:shd w:val="clear" w:color="auto" w:fill="auto"/>
          </w:tcPr>
          <w:p w14:paraId="1C0FA3A7" w14:textId="49839DFB" w:rsidR="006416AF" w:rsidRDefault="006416AF" w:rsidP="00DF411E">
            <w:pPr>
              <w:spacing w:line="252" w:lineRule="auto"/>
              <w:ind w:left="89" w:right="232"/>
              <w:jc w:val="right"/>
            </w:pPr>
            <w:r w:rsidRPr="00BF14B4">
              <w:t>$</w:t>
            </w:r>
            <w:r w:rsidR="00AE3EB4">
              <w:t>71,578</w:t>
            </w:r>
          </w:p>
        </w:tc>
        <w:tc>
          <w:tcPr>
            <w:tcW w:w="1247" w:type="dxa"/>
            <w:tcBorders>
              <w:top w:val="nil"/>
              <w:left w:val="nil"/>
              <w:bottom w:val="nil"/>
              <w:right w:val="nil"/>
            </w:tcBorders>
          </w:tcPr>
          <w:p w14:paraId="1F060FDE" w14:textId="2F03CC15" w:rsidR="006416AF" w:rsidRDefault="00AE3EB4" w:rsidP="00DF411E">
            <w:pPr>
              <w:spacing w:line="252" w:lineRule="auto"/>
              <w:ind w:right="445"/>
              <w:jc w:val="right"/>
            </w:pPr>
            <w:r>
              <w:t>23.4</w:t>
            </w:r>
            <w:r w:rsidR="006416AF" w:rsidRPr="00BF14B4">
              <w:t>%</w:t>
            </w:r>
          </w:p>
        </w:tc>
      </w:tr>
      <w:tr w:rsidR="006416AF" w:rsidRPr="00C41C9C" w14:paraId="717252E9" w14:textId="77777777" w:rsidTr="00DF411E">
        <w:trPr>
          <w:trHeight w:val="288"/>
          <w:jc w:val="center"/>
        </w:trPr>
        <w:tc>
          <w:tcPr>
            <w:tcW w:w="1731"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54E7CB18" w14:textId="242159DC" w:rsidR="006416AF" w:rsidRDefault="006416AF" w:rsidP="00DF411E">
            <w:pPr>
              <w:spacing w:line="252" w:lineRule="auto"/>
              <w:ind w:left="62" w:right="51"/>
            </w:pPr>
            <w:r>
              <w:t>SE WI Area</w:t>
            </w:r>
            <w:r w:rsidR="005478AC">
              <w:t xml:space="preserve"> Avg</w:t>
            </w:r>
          </w:p>
        </w:tc>
        <w:tc>
          <w:tcPr>
            <w:tcW w:w="126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5B674C75" w14:textId="5E7F7F76" w:rsidR="006416AF" w:rsidRDefault="006416AF" w:rsidP="00DF411E">
            <w:pPr>
              <w:spacing w:line="252" w:lineRule="auto"/>
              <w:ind w:left="44" w:right="62"/>
            </w:pPr>
            <w:r w:rsidRPr="003F43D5">
              <w:t>$</w:t>
            </w:r>
            <w:r w:rsidR="00AE3EB4">
              <w:t>306,318</w:t>
            </w:r>
          </w:p>
        </w:tc>
        <w:tc>
          <w:tcPr>
            <w:tcW w:w="1052"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tcPr>
          <w:p w14:paraId="24ECFE32" w14:textId="5314C2BC" w:rsidR="006416AF" w:rsidRDefault="006416AF" w:rsidP="00DF411E">
            <w:pPr>
              <w:spacing w:line="252" w:lineRule="auto"/>
              <w:ind w:right="-23"/>
            </w:pPr>
            <w:r>
              <w:t>$</w:t>
            </w:r>
            <w:r w:rsidR="00AE3EB4">
              <w:t>277,172</w:t>
            </w:r>
          </w:p>
        </w:tc>
        <w:tc>
          <w:tcPr>
            <w:tcW w:w="1270" w:type="dxa"/>
            <w:tcBorders>
              <w:top w:val="nil"/>
              <w:left w:val="nil"/>
              <w:bottom w:val="nil"/>
              <w:right w:val="nil"/>
            </w:tcBorders>
            <w:shd w:val="clear" w:color="auto" w:fill="DEEAF6" w:themeFill="accent1" w:themeFillTint="33"/>
          </w:tcPr>
          <w:p w14:paraId="32E087E6" w14:textId="582B8490" w:rsidR="006416AF" w:rsidRDefault="006416AF" w:rsidP="00DF411E">
            <w:pPr>
              <w:spacing w:line="252" w:lineRule="auto"/>
              <w:ind w:left="89" w:right="232"/>
              <w:jc w:val="right"/>
            </w:pPr>
            <w:r w:rsidRPr="00BF14B4">
              <w:t>$</w:t>
            </w:r>
            <w:r w:rsidR="00AE3EB4">
              <w:t>29,145</w:t>
            </w:r>
          </w:p>
        </w:tc>
        <w:tc>
          <w:tcPr>
            <w:tcW w:w="1247" w:type="dxa"/>
            <w:tcBorders>
              <w:top w:val="nil"/>
              <w:left w:val="nil"/>
              <w:bottom w:val="nil"/>
              <w:right w:val="nil"/>
            </w:tcBorders>
            <w:shd w:val="clear" w:color="auto" w:fill="DEEAF6" w:themeFill="accent1" w:themeFillTint="33"/>
          </w:tcPr>
          <w:p w14:paraId="6ACA642F" w14:textId="29D8510A" w:rsidR="006416AF" w:rsidRDefault="00AE3EB4" w:rsidP="00DF411E">
            <w:pPr>
              <w:spacing w:line="252" w:lineRule="auto"/>
              <w:ind w:right="445"/>
              <w:jc w:val="right"/>
            </w:pPr>
            <w:r>
              <w:t>10.5</w:t>
            </w:r>
            <w:r w:rsidR="006416AF" w:rsidRPr="00BF14B4">
              <w:t>%</w:t>
            </w:r>
          </w:p>
        </w:tc>
      </w:tr>
    </w:tbl>
    <w:p w14:paraId="61539A1E" w14:textId="3F508375" w:rsidR="001A5F8A" w:rsidRDefault="001A5F8A" w:rsidP="007B6D3B">
      <w:pPr>
        <w:spacing w:before="120" w:after="120"/>
        <w:ind w:left="-360" w:right="-360"/>
        <w:contextualSpacing/>
        <w:rPr>
          <w:b/>
        </w:rPr>
      </w:pPr>
    </w:p>
    <w:p w14:paraId="0EAF324F" w14:textId="2933F549" w:rsidR="00752249" w:rsidRDefault="0060287B" w:rsidP="00752249">
      <w:pPr>
        <w:spacing w:before="120" w:after="120"/>
        <w:ind w:left="-360" w:right="-360"/>
        <w:contextualSpacing/>
      </w:pPr>
      <w:r w:rsidRPr="0060287B">
        <w:rPr>
          <w:b/>
          <w:bCs/>
          <w:u w:val="single"/>
        </w:rPr>
        <w:t>Inventory</w:t>
      </w:r>
      <w:r w:rsidR="00EC22D0">
        <w:rPr>
          <w:noProof/>
        </w:rPr>
        <w:drawing>
          <wp:anchor distT="0" distB="0" distL="114300" distR="114300" simplePos="0" relativeHeight="251680768" behindDoc="0" locked="0" layoutInCell="1" allowOverlap="1" wp14:anchorId="15A6605D" wp14:editId="0334316F">
            <wp:simplePos x="0" y="0"/>
            <wp:positionH relativeFrom="column">
              <wp:posOffset>-229235</wp:posOffset>
            </wp:positionH>
            <wp:positionV relativeFrom="paragraph">
              <wp:posOffset>210185</wp:posOffset>
            </wp:positionV>
            <wp:extent cx="4389120" cy="2560320"/>
            <wp:effectExtent l="0" t="0" r="0" b="0"/>
            <wp:wrapSquare wrapText="bothSides"/>
            <wp:docPr id="1" name="Chart 1">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Pr="0031621B">
        <w:t xml:space="preserve"> </w:t>
      </w:r>
    </w:p>
    <w:p w14:paraId="5C0C5214" w14:textId="3D5962E6" w:rsidR="0080655E" w:rsidRPr="00752249" w:rsidRDefault="00752249" w:rsidP="00752249">
      <w:pPr>
        <w:spacing w:before="120" w:after="120"/>
        <w:ind w:left="-360" w:right="-360"/>
        <w:contextualSpacing/>
        <w:rPr>
          <w:b/>
          <w:bCs/>
          <w:u w:val="single"/>
        </w:rPr>
      </w:pPr>
      <w:r w:rsidRPr="00752249">
        <w:t>Seasonally</w:t>
      </w:r>
      <w:r>
        <w:t xml:space="preserve"> </w:t>
      </w:r>
      <w:r w:rsidR="0060287B" w:rsidRPr="0031621B">
        <w:t>adjusted inventory is calculated by taking the homes available for sale in each month and comparing them to the past 12 months’ average sales.  This tells us how many months it would take to sell the existing homes on the market</w:t>
      </w:r>
      <w:r w:rsidR="00F67F9D">
        <w:t>.</w:t>
      </w:r>
      <w:r w:rsidR="0060287B" w:rsidRPr="0060287B">
        <w:t xml:space="preserve"> </w:t>
      </w:r>
      <w:r w:rsidR="0060287B" w:rsidRPr="0031621B">
        <w:t xml:space="preserve">The seasonally adjusted inventory level for </w:t>
      </w:r>
      <w:r w:rsidR="0060287B">
        <w:t>September</w:t>
      </w:r>
      <w:r w:rsidR="0060287B" w:rsidRPr="0031621B">
        <w:t xml:space="preserve"> was </w:t>
      </w:r>
      <w:r w:rsidR="0060287B">
        <w:t>3.4</w:t>
      </w:r>
      <w:r w:rsidR="0060287B" w:rsidRPr="0031621B">
        <w:t xml:space="preserve"> months</w:t>
      </w:r>
      <w:r w:rsidR="0080655E">
        <w:t>.</w:t>
      </w:r>
      <w:r w:rsidR="00F67F9D">
        <w:t xml:space="preserve"> </w:t>
      </w:r>
    </w:p>
    <w:p w14:paraId="7A3D4A30" w14:textId="5FB5B72F" w:rsidR="0060287B" w:rsidRDefault="0060287B" w:rsidP="0060287B">
      <w:pPr>
        <w:spacing w:before="120" w:after="120"/>
        <w:ind w:left="-360" w:right="-360"/>
        <w:contextualSpacing/>
      </w:pPr>
    </w:p>
    <w:p w14:paraId="42B83732" w14:textId="61E0F7DE" w:rsidR="0080655E" w:rsidRPr="0031621B" w:rsidRDefault="0080655E" w:rsidP="0080655E">
      <w:pPr>
        <w:spacing w:before="120" w:after="120"/>
        <w:ind w:left="-360" w:right="-360"/>
        <w:contextualSpacing/>
      </w:pPr>
      <w:r>
        <w:t xml:space="preserve">If we </w:t>
      </w:r>
      <w:r w:rsidRPr="0031621B">
        <w:t>subtract</w:t>
      </w:r>
      <w:r>
        <w:t xml:space="preserve"> </w:t>
      </w:r>
      <w:r w:rsidRPr="0031621B">
        <w:t>the listings that have an “active offer” from those available for sale in each month</w:t>
      </w:r>
      <w:r>
        <w:t xml:space="preserve"> </w:t>
      </w:r>
      <w:r>
        <w:lastRenderedPageBreak/>
        <w:t>(a</w:t>
      </w:r>
      <w:r w:rsidRPr="0031621B">
        <w:t>pproximately 8</w:t>
      </w:r>
      <w:r>
        <w:t xml:space="preserve">0% of </w:t>
      </w:r>
      <w:r w:rsidRPr="0031621B">
        <w:t xml:space="preserve">listings </w:t>
      </w:r>
      <w:r>
        <w:t xml:space="preserve">with </w:t>
      </w:r>
      <w:r w:rsidRPr="0031621B">
        <w:t xml:space="preserve">an offer </w:t>
      </w:r>
      <w:r w:rsidR="00F67F9D">
        <w:t xml:space="preserve">turn into a </w:t>
      </w:r>
      <w:r>
        <w:t>sale)</w:t>
      </w:r>
      <w:r w:rsidR="00752249">
        <w:t>, we</w:t>
      </w:r>
      <w:r w:rsidRPr="0031621B">
        <w:t xml:space="preserve"> g</w:t>
      </w:r>
      <w:r w:rsidR="00752249">
        <w:t>et</w:t>
      </w:r>
      <w:r w:rsidRPr="0031621B">
        <w:t xml:space="preserve"> a different perspective of the quantity of homes available on the market</w:t>
      </w:r>
      <w:r w:rsidR="00752249">
        <w:t xml:space="preserve"> (See ‘Inventory’ graph above)</w:t>
      </w:r>
      <w:r w:rsidRPr="0031621B">
        <w:t>.</w:t>
      </w:r>
    </w:p>
    <w:p w14:paraId="302A61EA" w14:textId="6AB08EBF" w:rsidR="0080655E" w:rsidRPr="0031621B" w:rsidRDefault="0080655E" w:rsidP="0080655E">
      <w:pPr>
        <w:spacing w:before="120" w:after="120"/>
        <w:ind w:left="-360" w:right="-360"/>
        <w:contextualSpacing/>
      </w:pPr>
    </w:p>
    <w:p w14:paraId="613CA5FB" w14:textId="5C6FEC86" w:rsidR="0080655E" w:rsidRDefault="0080655E" w:rsidP="0080655E">
      <w:pPr>
        <w:spacing w:before="120" w:after="120"/>
        <w:ind w:left="-360" w:right="-360"/>
        <w:contextualSpacing/>
      </w:pPr>
      <w:r w:rsidRPr="0031621B">
        <w:t xml:space="preserve">Subtract the </w:t>
      </w:r>
      <w:r>
        <w:t>2</w:t>
      </w:r>
      <w:r w:rsidRPr="0031621B">
        <w:t>,</w:t>
      </w:r>
      <w:r>
        <w:t>821</w:t>
      </w:r>
      <w:r w:rsidRPr="0031621B">
        <w:t xml:space="preserve"> listings with an active offer from current listings presents an inventory level of </w:t>
      </w:r>
      <w:r>
        <w:t>1.4</w:t>
      </w:r>
      <w:r w:rsidRPr="0031621B">
        <w:t xml:space="preserve"> months</w:t>
      </w:r>
      <w:r>
        <w:t>.</w:t>
      </w:r>
    </w:p>
    <w:p w14:paraId="7ECBBE59" w14:textId="2AEADDB4" w:rsidR="00F67F9D" w:rsidRDefault="00F67F9D" w:rsidP="0080655E">
      <w:pPr>
        <w:spacing w:before="120" w:after="120"/>
        <w:ind w:left="-360" w:right="-360"/>
        <w:contextualSpacing/>
      </w:pPr>
    </w:p>
    <w:p w14:paraId="496AF8E2" w14:textId="4B292722" w:rsidR="0080655E" w:rsidRDefault="0080655E" w:rsidP="0080655E">
      <w:pPr>
        <w:spacing w:before="120" w:after="120"/>
        <w:ind w:left="-360" w:right="-360"/>
        <w:contextualSpacing/>
      </w:pPr>
      <w:r>
        <w:t xml:space="preserve">These are </w:t>
      </w:r>
      <w:r w:rsidRPr="00270753">
        <w:t>dangerously low numbers</w:t>
      </w:r>
      <w:r>
        <w:t xml:space="preserve"> and have been lackluster for a few years. If the region does not create </w:t>
      </w:r>
      <w:r w:rsidR="00270753">
        <w:t>additional</w:t>
      </w:r>
      <w:r>
        <w:t xml:space="preserve"> supply in the form of more single-family and condo units, thousands of would-be homeowners will be forced </w:t>
      </w:r>
      <w:r w:rsidR="00F67F9D">
        <w:t xml:space="preserve">into rental units, foregoing the opportunity to build wealth through a home’s equity and all of the other benefits of homeownership. </w:t>
      </w:r>
    </w:p>
    <w:p w14:paraId="36E4E76B" w14:textId="38D8652A" w:rsidR="00F67F9D" w:rsidRDefault="00270753" w:rsidP="0080655E">
      <w:pPr>
        <w:spacing w:before="120" w:after="120"/>
        <w:ind w:left="-360" w:right="-360"/>
        <w:contextualSpacing/>
      </w:pPr>
      <w:r>
        <w:rPr>
          <w:noProof/>
        </w:rPr>
        <w:drawing>
          <wp:anchor distT="0" distB="0" distL="114300" distR="114300" simplePos="0" relativeHeight="251681792" behindDoc="0" locked="0" layoutInCell="1" allowOverlap="1" wp14:anchorId="38BDCDD0" wp14:editId="59F61FC3">
            <wp:simplePos x="0" y="0"/>
            <wp:positionH relativeFrom="column">
              <wp:posOffset>-219075</wp:posOffset>
            </wp:positionH>
            <wp:positionV relativeFrom="paragraph">
              <wp:posOffset>72390</wp:posOffset>
            </wp:positionV>
            <wp:extent cx="4572000" cy="2743200"/>
            <wp:effectExtent l="0" t="0" r="0" b="0"/>
            <wp:wrapSquare wrapText="bothSides"/>
            <wp:docPr id="15" name="Chart 15">
              <a:extLst xmlns:a="http://schemas.openxmlformats.org/drawingml/2006/main">
                <a:ext uri="{FF2B5EF4-FFF2-40B4-BE49-F238E27FC236}">
                  <a16:creationId xmlns:a16="http://schemas.microsoft.com/office/drawing/2014/main" id="{4220DDEC-9644-40DF-9232-FA955E14F2F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14:paraId="2BE770CA" w14:textId="50D2B35B" w:rsidR="00F67F9D" w:rsidRDefault="00F67F9D" w:rsidP="0080655E">
      <w:pPr>
        <w:spacing w:before="120" w:after="120"/>
        <w:ind w:left="-360" w:right="-360"/>
        <w:contextualSpacing/>
      </w:pPr>
      <w:r w:rsidRPr="0031621B">
        <w:t>Generally, six months of inventory is considered a “balanced” market. If inventory falls below six months, the market favors sellers</w:t>
      </w:r>
      <w:r>
        <w:t>,</w:t>
      </w:r>
      <w:r w:rsidRPr="0031621B">
        <w:t xml:space="preserve"> and when inventory exceeds six months, it is a buyer’s market</w:t>
      </w:r>
      <w:r w:rsidR="00EC22D0">
        <w:t>.</w:t>
      </w:r>
    </w:p>
    <w:p w14:paraId="3621E155" w14:textId="155EA338" w:rsidR="0080655E" w:rsidRDefault="0080655E" w:rsidP="0080655E">
      <w:pPr>
        <w:spacing w:before="120" w:after="120"/>
        <w:ind w:left="-360" w:right="-360"/>
        <w:contextualSpacing/>
      </w:pPr>
    </w:p>
    <w:p w14:paraId="205DA350" w14:textId="3A08346D" w:rsidR="0080655E" w:rsidRDefault="00EC22D0" w:rsidP="0080655E">
      <w:pPr>
        <w:spacing w:before="120" w:after="120"/>
        <w:ind w:left="-360" w:right="-360"/>
        <w:contextualSpacing/>
      </w:pPr>
      <w:r>
        <w:t>With 5,658 current listings providing 3.4 months of inventory, the market would need an additional 4,450 units available to push inventory to 6 months.</w:t>
      </w:r>
    </w:p>
    <w:p w14:paraId="0651D70F" w14:textId="37BE2EED" w:rsidR="00EC22D0" w:rsidRDefault="00EC22D0" w:rsidP="0080655E">
      <w:pPr>
        <w:spacing w:before="120" w:after="120"/>
        <w:ind w:left="-360" w:right="-360"/>
        <w:contextualSpacing/>
      </w:pPr>
    </w:p>
    <w:p w14:paraId="0ECFEFA5" w14:textId="77777777" w:rsidR="0060287B" w:rsidRDefault="0060287B" w:rsidP="007B6D3B">
      <w:pPr>
        <w:spacing w:before="120" w:after="120"/>
        <w:ind w:left="-360" w:right="-360"/>
        <w:contextualSpacing/>
        <w:rPr>
          <w:b/>
        </w:rPr>
      </w:pPr>
    </w:p>
    <w:tbl>
      <w:tblPr>
        <w:tblpPr w:leftFromText="180" w:rightFromText="180" w:bottomFromText="115" w:vertAnchor="text" w:horzAnchor="page" w:tblpX="1069" w:tblpY="-94"/>
        <w:tblW w:w="4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668"/>
        <w:gridCol w:w="929"/>
        <w:gridCol w:w="929"/>
        <w:gridCol w:w="1064"/>
      </w:tblGrid>
      <w:tr w:rsidR="00BF7895" w:rsidRPr="00DC55EC" w14:paraId="426B6F6D" w14:textId="77777777" w:rsidTr="00DC55EC">
        <w:trPr>
          <w:trHeight w:val="432"/>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hideMark/>
          </w:tcPr>
          <w:p w14:paraId="017A0DAE" w14:textId="7AA79294" w:rsidR="00BF7895" w:rsidRPr="00270753" w:rsidRDefault="00FB5F93" w:rsidP="001A5F8A">
            <w:pPr>
              <w:spacing w:line="252" w:lineRule="auto"/>
              <w:ind w:left="-108" w:right="85"/>
              <w:rPr>
                <w:rFonts w:cstheme="minorHAnsi"/>
                <w:b/>
              </w:rPr>
            </w:pPr>
            <w:r w:rsidRPr="00270753">
              <w:rPr>
                <w:rFonts w:cstheme="minorHAnsi"/>
                <w:b/>
              </w:rPr>
              <w:t>September</w:t>
            </w:r>
            <w:r w:rsidR="00BF7895" w:rsidRPr="00270753">
              <w:rPr>
                <w:rFonts w:cstheme="minorHAnsi"/>
                <w:b/>
              </w:rPr>
              <w:t xml:space="preserve"> Listings</w:t>
            </w:r>
          </w:p>
        </w:tc>
      </w:tr>
      <w:tr w:rsidR="00BF7895" w:rsidRPr="00DC55EC" w14:paraId="6033A344" w14:textId="77777777" w:rsidTr="00DC55EC">
        <w:trPr>
          <w:trHeight w:val="288"/>
        </w:trPr>
        <w:tc>
          <w:tcPr>
            <w:tcW w:w="1668" w:type="dxa"/>
            <w:tcBorders>
              <w:top w:val="single" w:sz="12" w:space="0" w:color="FFFFFF" w:themeColor="background1"/>
              <w:left w:val="nil"/>
              <w:bottom w:val="nil"/>
              <w:right w:val="single" w:sz="12" w:space="0" w:color="FFFFFF" w:themeColor="background1"/>
            </w:tcBorders>
            <w:shd w:val="clear" w:color="auto" w:fill="1F4E79" w:themeFill="accent1" w:themeFillShade="80"/>
            <w:vAlign w:val="center"/>
            <w:hideMark/>
          </w:tcPr>
          <w:p w14:paraId="2E9E90AD" w14:textId="77777777" w:rsidR="00BF7895" w:rsidRPr="00DC55EC" w:rsidRDefault="00BF7895" w:rsidP="001A5F8A">
            <w:pPr>
              <w:ind w:left="175" w:right="100"/>
              <w:rPr>
                <w:rFonts w:cstheme="minorHAnsi"/>
                <w:b/>
                <w:color w:val="FFFFFF" w:themeColor="background1"/>
              </w:rPr>
            </w:pPr>
            <w:r w:rsidRPr="00DC55EC">
              <w:rPr>
                <w:rFonts w:cstheme="minorHAnsi"/>
                <w:b/>
                <w:color w:val="FFFFFF" w:themeColor="background1"/>
              </w:rPr>
              <w:t>County</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hideMark/>
          </w:tcPr>
          <w:p w14:paraId="14210741" w14:textId="63728ED7" w:rsidR="00BF7895" w:rsidRPr="00DC55EC" w:rsidRDefault="00BF7895" w:rsidP="001A5F8A">
            <w:pPr>
              <w:spacing w:line="207" w:lineRule="atLeast"/>
              <w:ind w:left="44" w:right="100"/>
              <w:rPr>
                <w:rFonts w:cstheme="minorHAnsi"/>
                <w:color w:val="FFFFFF" w:themeColor="background1"/>
              </w:rPr>
            </w:pPr>
            <w:r w:rsidRPr="00DC55EC">
              <w:rPr>
                <w:rFonts w:cstheme="minorHAnsi"/>
                <w:color w:val="FFFFFF" w:themeColor="background1"/>
              </w:rPr>
              <w:t>201</w:t>
            </w:r>
            <w:r w:rsidR="003C5FD7" w:rsidRPr="00DC55EC">
              <w:rPr>
                <w:rFonts w:cstheme="minorHAnsi"/>
                <w:color w:val="FFFFFF" w:themeColor="background1"/>
              </w:rPr>
              <w:t>9</w:t>
            </w:r>
          </w:p>
        </w:tc>
        <w:tc>
          <w:tcPr>
            <w:tcW w:w="929" w:type="dxa"/>
            <w:tcBorders>
              <w:top w:val="single" w:sz="12" w:space="0" w:color="FFFFFF" w:themeColor="background1"/>
              <w:left w:val="single" w:sz="12" w:space="0" w:color="FFFFFF" w:themeColor="background1"/>
              <w:bottom w:val="nil"/>
              <w:right w:val="single" w:sz="12" w:space="0" w:color="FFFFFF" w:themeColor="background1"/>
            </w:tcBorders>
            <w:shd w:val="clear" w:color="auto" w:fill="1F4E79" w:themeFill="accent1" w:themeFillShade="80"/>
            <w:tcMar>
              <w:top w:w="0" w:type="dxa"/>
              <w:left w:w="108" w:type="dxa"/>
              <w:bottom w:w="0" w:type="dxa"/>
              <w:right w:w="108" w:type="dxa"/>
            </w:tcMar>
            <w:hideMark/>
          </w:tcPr>
          <w:p w14:paraId="52200A40" w14:textId="5631C33C" w:rsidR="00BF7895" w:rsidRPr="00DC55EC" w:rsidRDefault="00BF7895" w:rsidP="001A5F8A">
            <w:pPr>
              <w:spacing w:line="207" w:lineRule="atLeast"/>
              <w:ind w:right="100"/>
              <w:rPr>
                <w:rFonts w:cstheme="minorHAnsi"/>
                <w:color w:val="FFFFFF" w:themeColor="background1"/>
              </w:rPr>
            </w:pPr>
            <w:r w:rsidRPr="00DC55EC">
              <w:rPr>
                <w:rFonts w:cstheme="minorHAnsi"/>
                <w:color w:val="FFFFFF" w:themeColor="background1"/>
              </w:rPr>
              <w:t>20</w:t>
            </w:r>
            <w:r w:rsidR="003C5FD7" w:rsidRPr="00DC55EC">
              <w:rPr>
                <w:rFonts w:cstheme="minorHAnsi"/>
                <w:color w:val="FFFFFF" w:themeColor="background1"/>
              </w:rPr>
              <w:t>20</w:t>
            </w:r>
          </w:p>
        </w:tc>
        <w:tc>
          <w:tcPr>
            <w:tcW w:w="1064" w:type="dxa"/>
            <w:tcBorders>
              <w:top w:val="single" w:sz="12" w:space="0" w:color="FFFFFF" w:themeColor="background1"/>
              <w:left w:val="single" w:sz="12" w:space="0" w:color="FFFFFF" w:themeColor="background1"/>
              <w:bottom w:val="nil"/>
            </w:tcBorders>
            <w:shd w:val="clear" w:color="auto" w:fill="1F4E79" w:themeFill="accent1" w:themeFillShade="80"/>
          </w:tcPr>
          <w:p w14:paraId="32361796" w14:textId="77777777" w:rsidR="00BF7895" w:rsidRPr="00DC55EC" w:rsidRDefault="00BF7895" w:rsidP="00DC55EC">
            <w:pPr>
              <w:ind w:left="89" w:right="46"/>
              <w:rPr>
                <w:rFonts w:cstheme="minorHAnsi"/>
                <w:color w:val="FFFFFF" w:themeColor="background1"/>
              </w:rPr>
            </w:pPr>
            <w:r w:rsidRPr="00DC55EC">
              <w:rPr>
                <w:rFonts w:cstheme="minorHAnsi"/>
                <w:color w:val="FFFFFF" w:themeColor="background1"/>
              </w:rPr>
              <w:t>% Change</w:t>
            </w:r>
          </w:p>
        </w:tc>
      </w:tr>
      <w:tr w:rsidR="00BF7895" w:rsidRPr="00DC55EC" w14:paraId="1A6D9EC3" w14:textId="77777777" w:rsidTr="00DC55EC">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hideMark/>
          </w:tcPr>
          <w:p w14:paraId="380B565F" w14:textId="77777777" w:rsidR="00BF7895" w:rsidRPr="00DC55EC" w:rsidRDefault="00BF7895" w:rsidP="001A5F8A">
            <w:pPr>
              <w:spacing w:line="252" w:lineRule="auto"/>
              <w:ind w:left="62" w:right="100"/>
              <w:rPr>
                <w:rFonts w:cstheme="minorHAnsi"/>
              </w:rPr>
            </w:pPr>
            <w:r w:rsidRPr="00DC55EC">
              <w:rPr>
                <w:rFonts w:cstheme="minorHAnsi"/>
              </w:rPr>
              <w:t>Milwaukee</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25FD5F38" w14:textId="19DAEF77" w:rsidR="00BF7895" w:rsidRPr="00DC55EC" w:rsidRDefault="00F03600" w:rsidP="001A5F8A">
            <w:pPr>
              <w:ind w:right="100"/>
              <w:rPr>
                <w:rFonts w:cstheme="minorHAnsi"/>
              </w:rPr>
            </w:pPr>
            <w:r w:rsidRPr="00DC55EC">
              <w:rPr>
                <w:rFonts w:cstheme="minorHAnsi"/>
              </w:rPr>
              <w:t>1,</w:t>
            </w:r>
            <w:r w:rsidR="00162A57">
              <w:rPr>
                <w:rFonts w:cstheme="minorHAnsi"/>
              </w:rPr>
              <w:t>346</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043A9F9E" w14:textId="6942AF2F" w:rsidR="00BF7895" w:rsidRPr="00DC55EC" w:rsidRDefault="00F03600" w:rsidP="001A5F8A">
            <w:pPr>
              <w:ind w:right="100"/>
              <w:rPr>
                <w:rFonts w:cstheme="minorHAnsi"/>
              </w:rPr>
            </w:pPr>
            <w:r w:rsidRPr="00DC55EC">
              <w:rPr>
                <w:rFonts w:cstheme="minorHAnsi"/>
              </w:rPr>
              <w:t>1,</w:t>
            </w:r>
            <w:r w:rsidR="00162A57">
              <w:rPr>
                <w:rFonts w:cstheme="minorHAnsi"/>
              </w:rPr>
              <w:t>524</w:t>
            </w:r>
          </w:p>
        </w:tc>
        <w:tc>
          <w:tcPr>
            <w:tcW w:w="1064" w:type="dxa"/>
            <w:tcBorders>
              <w:top w:val="nil"/>
              <w:left w:val="nil"/>
              <w:bottom w:val="nil"/>
              <w:right w:val="nil"/>
            </w:tcBorders>
            <w:shd w:val="clear" w:color="auto" w:fill="auto"/>
            <w:vAlign w:val="center"/>
          </w:tcPr>
          <w:p w14:paraId="580A33AF" w14:textId="1AD6DB55" w:rsidR="00BF7895" w:rsidRPr="00DC55EC" w:rsidRDefault="00162A57" w:rsidP="00DC55EC">
            <w:pPr>
              <w:spacing w:line="252" w:lineRule="auto"/>
              <w:ind w:left="95" w:right="180"/>
              <w:jc w:val="right"/>
              <w:rPr>
                <w:rFonts w:cstheme="minorHAnsi"/>
              </w:rPr>
            </w:pPr>
            <w:r>
              <w:rPr>
                <w:rFonts w:cstheme="minorHAnsi"/>
              </w:rPr>
              <w:t>13</w:t>
            </w:r>
            <w:r w:rsidR="00F03600" w:rsidRPr="00DC55EC">
              <w:rPr>
                <w:rFonts w:cstheme="minorHAnsi"/>
              </w:rPr>
              <w:t>.</w:t>
            </w:r>
            <w:r>
              <w:rPr>
                <w:rFonts w:cstheme="minorHAnsi"/>
              </w:rPr>
              <w:t>2</w:t>
            </w:r>
            <w:r w:rsidR="00BF7895" w:rsidRPr="00DC55EC">
              <w:rPr>
                <w:rFonts w:cstheme="minorHAnsi"/>
              </w:rPr>
              <w:t>%</w:t>
            </w:r>
          </w:p>
        </w:tc>
      </w:tr>
      <w:tr w:rsidR="00BF7895" w:rsidRPr="00DC55EC" w14:paraId="05B753C1" w14:textId="77777777" w:rsidTr="00DC55EC">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hideMark/>
          </w:tcPr>
          <w:p w14:paraId="7A705EAD" w14:textId="77777777" w:rsidR="00BF7895" w:rsidRPr="00DC55EC" w:rsidRDefault="00BF7895" w:rsidP="001A5F8A">
            <w:pPr>
              <w:spacing w:line="252" w:lineRule="auto"/>
              <w:ind w:left="62" w:right="100"/>
              <w:rPr>
                <w:rFonts w:cstheme="minorHAnsi"/>
              </w:rPr>
            </w:pPr>
            <w:r w:rsidRPr="00DC55EC">
              <w:rPr>
                <w:rFonts w:cstheme="minorHAnsi"/>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43ED09C2" w14:textId="0B88B33B" w:rsidR="00BF7895" w:rsidRPr="00DC55EC" w:rsidRDefault="00162A57" w:rsidP="001A5F8A">
            <w:pPr>
              <w:ind w:right="100"/>
              <w:rPr>
                <w:rFonts w:cstheme="minorHAnsi"/>
              </w:rPr>
            </w:pPr>
            <w:r>
              <w:rPr>
                <w:rFonts w:cstheme="minorHAnsi"/>
              </w:rPr>
              <w:t>631</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779C3B81" w14:textId="777C8DFE" w:rsidR="00BF7895" w:rsidRPr="00DC55EC" w:rsidRDefault="00162A57" w:rsidP="001A5F8A">
            <w:pPr>
              <w:ind w:right="100"/>
              <w:rPr>
                <w:rFonts w:cstheme="minorHAnsi"/>
              </w:rPr>
            </w:pPr>
            <w:r>
              <w:rPr>
                <w:rFonts w:cstheme="minorHAnsi"/>
              </w:rPr>
              <w:t>664</w:t>
            </w:r>
          </w:p>
        </w:tc>
        <w:tc>
          <w:tcPr>
            <w:tcW w:w="1064" w:type="dxa"/>
            <w:tcBorders>
              <w:top w:val="nil"/>
              <w:left w:val="nil"/>
              <w:bottom w:val="nil"/>
              <w:right w:val="nil"/>
            </w:tcBorders>
            <w:shd w:val="clear" w:color="auto" w:fill="DEEAF6" w:themeFill="accent1" w:themeFillTint="33"/>
            <w:vAlign w:val="center"/>
          </w:tcPr>
          <w:p w14:paraId="3FA3B082" w14:textId="1F979F56" w:rsidR="00BF7895" w:rsidRPr="00DC55EC" w:rsidRDefault="00162A57" w:rsidP="00DC55EC">
            <w:pPr>
              <w:spacing w:line="252" w:lineRule="auto"/>
              <w:ind w:left="95" w:right="180"/>
              <w:jc w:val="right"/>
              <w:rPr>
                <w:rFonts w:cstheme="minorHAnsi"/>
              </w:rPr>
            </w:pPr>
            <w:r>
              <w:rPr>
                <w:rFonts w:cstheme="minorHAnsi"/>
              </w:rPr>
              <w:t>5.2</w:t>
            </w:r>
            <w:r w:rsidR="00BF7895" w:rsidRPr="00DC55EC">
              <w:rPr>
                <w:rFonts w:cstheme="minorHAnsi"/>
              </w:rPr>
              <w:t>%</w:t>
            </w:r>
          </w:p>
        </w:tc>
      </w:tr>
      <w:tr w:rsidR="00BF7895" w:rsidRPr="00DC55EC" w14:paraId="6F989B67" w14:textId="77777777" w:rsidTr="00F41BD7">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hideMark/>
          </w:tcPr>
          <w:p w14:paraId="6514D57F" w14:textId="77777777" w:rsidR="00BF7895" w:rsidRPr="00DC55EC" w:rsidRDefault="00BF7895" w:rsidP="001A5F8A">
            <w:pPr>
              <w:spacing w:line="252" w:lineRule="auto"/>
              <w:ind w:left="62" w:right="100"/>
              <w:rPr>
                <w:rFonts w:cstheme="minorHAnsi"/>
              </w:rPr>
            </w:pPr>
            <w:r w:rsidRPr="00DC55EC">
              <w:rPr>
                <w:rFonts w:cstheme="minorHAnsi"/>
              </w:rPr>
              <w:t>Washington</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B4F66CA" w14:textId="34B3BDFF" w:rsidR="00BF7895" w:rsidRPr="00DC55EC" w:rsidRDefault="00956B75" w:rsidP="001A5F8A">
            <w:pPr>
              <w:spacing w:line="252" w:lineRule="auto"/>
              <w:ind w:right="100"/>
              <w:rPr>
                <w:rFonts w:cstheme="minorHAnsi"/>
              </w:rPr>
            </w:pPr>
            <w:r>
              <w:rPr>
                <w:rFonts w:cstheme="minorHAnsi"/>
              </w:rPr>
              <w:t>215</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02744AC" w14:textId="3E353D6E" w:rsidR="00BF7895" w:rsidRPr="00DC55EC" w:rsidRDefault="00956B75" w:rsidP="001A5F8A">
            <w:pPr>
              <w:spacing w:line="252" w:lineRule="auto"/>
              <w:ind w:right="100"/>
              <w:rPr>
                <w:rFonts w:cstheme="minorHAnsi"/>
              </w:rPr>
            </w:pPr>
            <w:r>
              <w:rPr>
                <w:rFonts w:cstheme="minorHAnsi"/>
              </w:rPr>
              <w:t>205</w:t>
            </w:r>
          </w:p>
        </w:tc>
        <w:tc>
          <w:tcPr>
            <w:tcW w:w="1064" w:type="dxa"/>
            <w:tcBorders>
              <w:top w:val="nil"/>
              <w:left w:val="nil"/>
              <w:bottom w:val="nil"/>
              <w:right w:val="nil"/>
            </w:tcBorders>
            <w:shd w:val="clear" w:color="auto" w:fill="auto"/>
            <w:vAlign w:val="center"/>
          </w:tcPr>
          <w:p w14:paraId="5D826CE6" w14:textId="39AF8A28" w:rsidR="00BF7895" w:rsidRPr="00DC55EC" w:rsidRDefault="00956B75" w:rsidP="00DC55EC">
            <w:pPr>
              <w:spacing w:line="252" w:lineRule="auto"/>
              <w:ind w:left="95" w:right="180"/>
              <w:jc w:val="right"/>
              <w:rPr>
                <w:rFonts w:cstheme="minorHAnsi"/>
              </w:rPr>
            </w:pPr>
            <w:r>
              <w:rPr>
                <w:rFonts w:cstheme="minorHAnsi"/>
              </w:rPr>
              <w:t>-4.7</w:t>
            </w:r>
            <w:r w:rsidR="00BF7895" w:rsidRPr="00DC55EC">
              <w:rPr>
                <w:rFonts w:cstheme="minorHAnsi"/>
              </w:rPr>
              <w:t>%</w:t>
            </w:r>
          </w:p>
        </w:tc>
      </w:tr>
      <w:tr w:rsidR="00BF7895" w:rsidRPr="00DC55EC" w14:paraId="5B123737" w14:textId="77777777" w:rsidTr="00F41BD7">
        <w:trPr>
          <w:trHeight w:val="288"/>
        </w:trPr>
        <w:tc>
          <w:tcPr>
            <w:tcW w:w="1668"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hideMark/>
          </w:tcPr>
          <w:p w14:paraId="4C8EB52E" w14:textId="77777777" w:rsidR="00BF7895" w:rsidRPr="00DC55EC" w:rsidRDefault="00BF7895" w:rsidP="001A5F8A">
            <w:pPr>
              <w:spacing w:line="252" w:lineRule="auto"/>
              <w:ind w:left="62" w:right="100"/>
              <w:rPr>
                <w:rFonts w:cstheme="minorHAnsi"/>
              </w:rPr>
            </w:pPr>
            <w:r w:rsidRPr="00DC55EC">
              <w:rPr>
                <w:rFonts w:cstheme="minorHAnsi"/>
              </w:rPr>
              <w:t>Ozaukee</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19C97BCE" w14:textId="55381225" w:rsidR="00BF7895" w:rsidRPr="00DC55EC" w:rsidRDefault="00956B75" w:rsidP="001A5F8A">
            <w:pPr>
              <w:spacing w:line="252" w:lineRule="auto"/>
              <w:ind w:right="100"/>
              <w:rPr>
                <w:rFonts w:cstheme="minorHAnsi"/>
              </w:rPr>
            </w:pPr>
            <w:r>
              <w:rPr>
                <w:rFonts w:cstheme="minorHAnsi"/>
              </w:rPr>
              <w:t>164</w:t>
            </w:r>
          </w:p>
        </w:tc>
        <w:tc>
          <w:tcPr>
            <w:tcW w:w="929" w:type="dxa"/>
            <w:tcBorders>
              <w:top w:val="nil"/>
              <w:left w:val="nil"/>
              <w:bottom w:val="single" w:sz="4" w:space="0" w:color="auto"/>
              <w:right w:val="nil"/>
            </w:tcBorders>
            <w:shd w:val="clear" w:color="auto" w:fill="DEEAF6" w:themeFill="accent1" w:themeFillTint="33"/>
            <w:tcMar>
              <w:top w:w="0" w:type="dxa"/>
              <w:left w:w="108" w:type="dxa"/>
              <w:bottom w:w="0" w:type="dxa"/>
              <w:right w:w="108" w:type="dxa"/>
            </w:tcMar>
            <w:vAlign w:val="center"/>
          </w:tcPr>
          <w:p w14:paraId="619F5C5C" w14:textId="7843E946" w:rsidR="00BF7895" w:rsidRPr="00DC55EC" w:rsidRDefault="00956B75" w:rsidP="001A5F8A">
            <w:pPr>
              <w:spacing w:line="252" w:lineRule="auto"/>
              <w:ind w:right="100"/>
              <w:rPr>
                <w:rFonts w:cstheme="minorHAnsi"/>
              </w:rPr>
            </w:pPr>
            <w:r>
              <w:rPr>
                <w:rFonts w:cstheme="minorHAnsi"/>
              </w:rPr>
              <w:t>159</w:t>
            </w:r>
          </w:p>
        </w:tc>
        <w:tc>
          <w:tcPr>
            <w:tcW w:w="1064" w:type="dxa"/>
            <w:tcBorders>
              <w:top w:val="nil"/>
              <w:left w:val="nil"/>
              <w:bottom w:val="nil"/>
              <w:right w:val="nil"/>
            </w:tcBorders>
            <w:shd w:val="clear" w:color="auto" w:fill="DEEAF6" w:themeFill="accent1" w:themeFillTint="33"/>
            <w:vAlign w:val="center"/>
          </w:tcPr>
          <w:p w14:paraId="39A71D0C" w14:textId="284EBEF8" w:rsidR="00BF7895" w:rsidRPr="00DC55EC" w:rsidRDefault="00956B75" w:rsidP="00DC55EC">
            <w:pPr>
              <w:spacing w:line="252" w:lineRule="auto"/>
              <w:ind w:left="95" w:right="180"/>
              <w:jc w:val="right"/>
              <w:rPr>
                <w:rFonts w:cstheme="minorHAnsi"/>
              </w:rPr>
            </w:pPr>
            <w:r>
              <w:rPr>
                <w:rFonts w:cstheme="minorHAnsi"/>
              </w:rPr>
              <w:t>-3.0</w:t>
            </w:r>
            <w:r w:rsidR="00BF7895" w:rsidRPr="00DC55EC">
              <w:rPr>
                <w:rFonts w:cstheme="minorHAnsi"/>
              </w:rPr>
              <w:t>%</w:t>
            </w:r>
          </w:p>
        </w:tc>
      </w:tr>
      <w:tr w:rsidR="00BF7895" w:rsidRPr="00DC55EC" w14:paraId="5243125C" w14:textId="77777777" w:rsidTr="00F41BD7">
        <w:trPr>
          <w:trHeight w:val="288"/>
        </w:trPr>
        <w:tc>
          <w:tcPr>
            <w:tcW w:w="1668" w:type="dxa"/>
            <w:tcBorders>
              <w:top w:val="single" w:sz="4" w:space="0" w:color="auto"/>
              <w:left w:val="nil"/>
              <w:bottom w:val="nil"/>
              <w:right w:val="nil"/>
            </w:tcBorders>
            <w:shd w:val="clear" w:color="auto" w:fill="auto"/>
            <w:tcMar>
              <w:top w:w="0" w:type="dxa"/>
              <w:left w:w="108" w:type="dxa"/>
              <w:bottom w:w="0" w:type="dxa"/>
              <w:right w:w="108" w:type="dxa"/>
            </w:tcMar>
            <w:vAlign w:val="center"/>
            <w:hideMark/>
          </w:tcPr>
          <w:p w14:paraId="64DD1B5C" w14:textId="33739D5E" w:rsidR="00BF7895" w:rsidRPr="00DC55EC" w:rsidRDefault="0043444E" w:rsidP="001A5F8A">
            <w:pPr>
              <w:spacing w:line="252" w:lineRule="auto"/>
              <w:ind w:left="62" w:right="100"/>
              <w:rPr>
                <w:rFonts w:cstheme="minorHAnsi"/>
              </w:rPr>
            </w:pPr>
            <w:r w:rsidRPr="00DC55EC">
              <w:rPr>
                <w:rFonts w:cstheme="minorHAnsi"/>
              </w:rPr>
              <w:t>Metro</w:t>
            </w:r>
            <w:r w:rsidR="00BF7895" w:rsidRPr="00DC55EC">
              <w:rPr>
                <w:rFonts w:cstheme="minorHAnsi"/>
              </w:rPr>
              <w:t xml:space="preserve">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116F8539" w14:textId="7E27B6E9" w:rsidR="00BF7895" w:rsidRPr="00DC55EC" w:rsidRDefault="00956B75" w:rsidP="001A5F8A">
            <w:pPr>
              <w:spacing w:line="252" w:lineRule="auto"/>
              <w:ind w:right="100"/>
              <w:rPr>
                <w:rFonts w:cstheme="minorHAnsi"/>
              </w:rPr>
            </w:pPr>
            <w:r>
              <w:rPr>
                <w:rFonts w:cstheme="minorHAnsi"/>
              </w:rPr>
              <w:t>2,356</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7E56854A" w14:textId="38FB9018" w:rsidR="00BF7895" w:rsidRPr="00DC55EC" w:rsidRDefault="00956B75" w:rsidP="001A5F8A">
            <w:pPr>
              <w:spacing w:line="252" w:lineRule="auto"/>
              <w:ind w:right="100"/>
              <w:rPr>
                <w:rFonts w:cstheme="minorHAnsi"/>
              </w:rPr>
            </w:pPr>
            <w:r>
              <w:rPr>
                <w:rFonts w:cstheme="minorHAnsi"/>
              </w:rPr>
              <w:t>2,552</w:t>
            </w:r>
          </w:p>
        </w:tc>
        <w:tc>
          <w:tcPr>
            <w:tcW w:w="1064" w:type="dxa"/>
            <w:tcBorders>
              <w:top w:val="nil"/>
              <w:left w:val="nil"/>
              <w:bottom w:val="nil"/>
              <w:right w:val="nil"/>
            </w:tcBorders>
            <w:shd w:val="clear" w:color="auto" w:fill="auto"/>
            <w:vAlign w:val="center"/>
          </w:tcPr>
          <w:p w14:paraId="584460D1" w14:textId="2F3D9BAE" w:rsidR="00BF7895" w:rsidRPr="00DC55EC" w:rsidRDefault="00956B75" w:rsidP="00DC55EC">
            <w:pPr>
              <w:spacing w:line="252" w:lineRule="auto"/>
              <w:ind w:left="95" w:right="180"/>
              <w:jc w:val="right"/>
              <w:rPr>
                <w:rFonts w:cstheme="minorHAnsi"/>
              </w:rPr>
            </w:pPr>
            <w:r>
              <w:rPr>
                <w:rFonts w:cstheme="minorHAnsi"/>
              </w:rPr>
              <w:t>8.3</w:t>
            </w:r>
            <w:r w:rsidR="00BF7895" w:rsidRPr="00DC55EC">
              <w:rPr>
                <w:rFonts w:cstheme="minorHAnsi"/>
              </w:rPr>
              <w:t>%</w:t>
            </w:r>
          </w:p>
        </w:tc>
      </w:tr>
      <w:tr w:rsidR="001A5F8A" w:rsidRPr="00DC55EC" w14:paraId="56BA12FC" w14:textId="77777777" w:rsidTr="00DC55EC">
        <w:trPr>
          <w:trHeight w:val="144"/>
        </w:trPr>
        <w:tc>
          <w:tcPr>
            <w:tcW w:w="459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499AE21" w14:textId="77777777" w:rsidR="001A5F8A" w:rsidRPr="00DC55EC" w:rsidRDefault="001A5F8A" w:rsidP="00DC55EC">
            <w:pPr>
              <w:spacing w:line="252" w:lineRule="auto"/>
              <w:ind w:left="95" w:right="180"/>
              <w:jc w:val="right"/>
              <w:rPr>
                <w:rFonts w:cstheme="minorHAnsi"/>
                <w:sz w:val="10"/>
                <w:szCs w:val="10"/>
              </w:rPr>
            </w:pPr>
          </w:p>
        </w:tc>
      </w:tr>
      <w:tr w:rsidR="00BF7895" w:rsidRPr="00DC55EC" w14:paraId="16792FD9" w14:textId="77777777" w:rsidTr="00DC55EC">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3B773613" w14:textId="77777777" w:rsidR="00BF7895" w:rsidRPr="00DC55EC" w:rsidRDefault="00BF7895" w:rsidP="001A5F8A">
            <w:pPr>
              <w:spacing w:line="252" w:lineRule="auto"/>
              <w:ind w:left="62" w:right="100"/>
              <w:rPr>
                <w:rFonts w:cstheme="minorHAnsi"/>
              </w:rPr>
            </w:pPr>
            <w:r w:rsidRPr="00DC55EC">
              <w:rPr>
                <w:rFonts w:cstheme="minorHAnsi"/>
              </w:rPr>
              <w:t>Racine</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67623949" w14:textId="4942751C" w:rsidR="00BF7895" w:rsidRPr="00DC55EC" w:rsidRDefault="00956B75" w:rsidP="001A5F8A">
            <w:pPr>
              <w:spacing w:line="252" w:lineRule="auto"/>
              <w:ind w:right="100"/>
              <w:rPr>
                <w:rFonts w:cstheme="minorHAnsi"/>
              </w:rPr>
            </w:pPr>
            <w:r>
              <w:rPr>
                <w:rFonts w:cstheme="minorHAnsi"/>
              </w:rPr>
              <w:t>320</w:t>
            </w:r>
          </w:p>
        </w:tc>
        <w:tc>
          <w:tcPr>
            <w:tcW w:w="929" w:type="dxa"/>
            <w:tcBorders>
              <w:top w:val="nil"/>
              <w:left w:val="nil"/>
              <w:bottom w:val="nil"/>
              <w:right w:val="nil"/>
            </w:tcBorders>
            <w:shd w:val="clear" w:color="auto" w:fill="auto"/>
            <w:tcMar>
              <w:top w:w="0" w:type="dxa"/>
              <w:left w:w="108" w:type="dxa"/>
              <w:bottom w:w="0" w:type="dxa"/>
              <w:right w:w="108" w:type="dxa"/>
            </w:tcMar>
            <w:vAlign w:val="center"/>
          </w:tcPr>
          <w:p w14:paraId="3E3CA32D" w14:textId="26FC1BC5" w:rsidR="00BF7895" w:rsidRPr="00DC55EC" w:rsidRDefault="00956B75" w:rsidP="001A5F8A">
            <w:pPr>
              <w:spacing w:line="252" w:lineRule="auto"/>
              <w:ind w:right="100"/>
              <w:rPr>
                <w:rFonts w:cstheme="minorHAnsi"/>
              </w:rPr>
            </w:pPr>
            <w:r>
              <w:rPr>
                <w:rFonts w:cstheme="minorHAnsi"/>
              </w:rPr>
              <w:t>355</w:t>
            </w:r>
          </w:p>
        </w:tc>
        <w:tc>
          <w:tcPr>
            <w:tcW w:w="1064" w:type="dxa"/>
            <w:tcBorders>
              <w:top w:val="nil"/>
              <w:left w:val="nil"/>
              <w:bottom w:val="nil"/>
              <w:right w:val="nil"/>
            </w:tcBorders>
            <w:shd w:val="clear" w:color="auto" w:fill="auto"/>
            <w:vAlign w:val="center"/>
          </w:tcPr>
          <w:p w14:paraId="374CC047" w14:textId="64CAD908" w:rsidR="00BF7895" w:rsidRPr="00DC55EC" w:rsidRDefault="00956B75" w:rsidP="00DC55EC">
            <w:pPr>
              <w:spacing w:line="252" w:lineRule="auto"/>
              <w:ind w:left="95" w:right="180"/>
              <w:jc w:val="right"/>
              <w:rPr>
                <w:rFonts w:cstheme="minorHAnsi"/>
              </w:rPr>
            </w:pPr>
            <w:r>
              <w:rPr>
                <w:rFonts w:cstheme="minorHAnsi"/>
              </w:rPr>
              <w:t>10.9</w:t>
            </w:r>
            <w:r w:rsidR="00BF7895" w:rsidRPr="00DC55EC">
              <w:rPr>
                <w:rFonts w:cstheme="minorHAnsi"/>
              </w:rPr>
              <w:t>%</w:t>
            </w:r>
          </w:p>
        </w:tc>
      </w:tr>
      <w:tr w:rsidR="00BF7895" w:rsidRPr="00DC55EC" w14:paraId="3178E533" w14:textId="77777777" w:rsidTr="00F41BD7">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22D5952" w14:textId="77777777" w:rsidR="00BF7895" w:rsidRPr="00DC55EC" w:rsidRDefault="00BF7895" w:rsidP="001A5F8A">
            <w:pPr>
              <w:spacing w:line="252" w:lineRule="auto"/>
              <w:ind w:left="62" w:right="100"/>
              <w:rPr>
                <w:rFonts w:cstheme="minorHAnsi"/>
              </w:rPr>
            </w:pPr>
            <w:r w:rsidRPr="00DC55EC">
              <w:rPr>
                <w:rFonts w:cstheme="minorHAnsi"/>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60C86F2F" w14:textId="531D90B8" w:rsidR="00BF7895" w:rsidRPr="00DC55EC" w:rsidRDefault="00956B75" w:rsidP="001A5F8A">
            <w:pPr>
              <w:spacing w:line="252" w:lineRule="auto"/>
              <w:ind w:right="100"/>
              <w:rPr>
                <w:rFonts w:cstheme="minorHAnsi"/>
              </w:rPr>
            </w:pPr>
            <w:r>
              <w:rPr>
                <w:rFonts w:cstheme="minorHAnsi"/>
              </w:rPr>
              <w:t>254</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045E5A76" w14:textId="39724266" w:rsidR="00BF7895" w:rsidRPr="00DC55EC" w:rsidRDefault="00956B75" w:rsidP="001A5F8A">
            <w:pPr>
              <w:spacing w:line="252" w:lineRule="auto"/>
              <w:ind w:right="100"/>
              <w:rPr>
                <w:rFonts w:cstheme="minorHAnsi"/>
              </w:rPr>
            </w:pPr>
            <w:r>
              <w:rPr>
                <w:rFonts w:cstheme="minorHAnsi"/>
              </w:rPr>
              <w:t>310</w:t>
            </w:r>
          </w:p>
        </w:tc>
        <w:tc>
          <w:tcPr>
            <w:tcW w:w="1064" w:type="dxa"/>
            <w:tcBorders>
              <w:top w:val="nil"/>
              <w:left w:val="nil"/>
              <w:bottom w:val="nil"/>
              <w:right w:val="nil"/>
            </w:tcBorders>
            <w:shd w:val="clear" w:color="auto" w:fill="DEEAF6" w:themeFill="accent1" w:themeFillTint="33"/>
            <w:vAlign w:val="center"/>
          </w:tcPr>
          <w:p w14:paraId="32C10210" w14:textId="657DDD29" w:rsidR="00BF7895" w:rsidRPr="00DC55EC" w:rsidRDefault="00956B75" w:rsidP="00DC55EC">
            <w:pPr>
              <w:spacing w:line="252" w:lineRule="auto"/>
              <w:ind w:left="95" w:right="180"/>
              <w:jc w:val="right"/>
              <w:rPr>
                <w:rFonts w:cstheme="minorHAnsi"/>
              </w:rPr>
            </w:pPr>
            <w:r>
              <w:rPr>
                <w:rFonts w:cstheme="minorHAnsi"/>
              </w:rPr>
              <w:t>22.0</w:t>
            </w:r>
            <w:r w:rsidR="00DC55EC" w:rsidRPr="00DC55EC">
              <w:rPr>
                <w:rFonts w:cstheme="minorHAnsi"/>
              </w:rPr>
              <w:t>%</w:t>
            </w:r>
          </w:p>
        </w:tc>
      </w:tr>
      <w:tr w:rsidR="00BF7895" w:rsidRPr="00DC55EC" w14:paraId="63293F05" w14:textId="77777777" w:rsidTr="00F41BD7">
        <w:trPr>
          <w:trHeight w:val="288"/>
        </w:trPr>
        <w:tc>
          <w:tcPr>
            <w:tcW w:w="1668"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05FD90A6" w14:textId="77777777" w:rsidR="00BF7895" w:rsidRPr="00DC55EC" w:rsidRDefault="00BF7895" w:rsidP="001A5F8A">
            <w:pPr>
              <w:spacing w:line="252" w:lineRule="auto"/>
              <w:ind w:left="62" w:right="100"/>
              <w:rPr>
                <w:rFonts w:cstheme="minorHAnsi"/>
              </w:rPr>
            </w:pPr>
            <w:r w:rsidRPr="00DC55EC">
              <w:rPr>
                <w:rFonts w:cstheme="minorHAnsi"/>
              </w:rPr>
              <w:t>Walworth</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BA2EFD7" w14:textId="70C53422" w:rsidR="00BF7895" w:rsidRPr="00DC55EC" w:rsidRDefault="00956B75" w:rsidP="001A5F8A">
            <w:pPr>
              <w:spacing w:line="252" w:lineRule="auto"/>
              <w:ind w:right="100"/>
              <w:rPr>
                <w:rFonts w:cstheme="minorHAnsi"/>
              </w:rPr>
            </w:pPr>
            <w:r>
              <w:rPr>
                <w:rFonts w:cstheme="minorHAnsi"/>
              </w:rPr>
              <w:t>205</w:t>
            </w:r>
          </w:p>
        </w:tc>
        <w:tc>
          <w:tcPr>
            <w:tcW w:w="929" w:type="dxa"/>
            <w:tcBorders>
              <w:top w:val="nil"/>
              <w:left w:val="nil"/>
              <w:bottom w:val="single" w:sz="4" w:space="0" w:color="auto"/>
              <w:right w:val="nil"/>
            </w:tcBorders>
            <w:shd w:val="clear" w:color="auto" w:fill="auto"/>
            <w:tcMar>
              <w:top w:w="0" w:type="dxa"/>
              <w:left w:w="108" w:type="dxa"/>
              <w:bottom w:w="0" w:type="dxa"/>
              <w:right w:w="108" w:type="dxa"/>
            </w:tcMar>
            <w:vAlign w:val="center"/>
          </w:tcPr>
          <w:p w14:paraId="64D80C81" w14:textId="47D16164" w:rsidR="00BF7895" w:rsidRPr="00DC55EC" w:rsidRDefault="00956B75" w:rsidP="001A5F8A">
            <w:pPr>
              <w:spacing w:line="252" w:lineRule="auto"/>
              <w:ind w:right="100"/>
              <w:rPr>
                <w:rFonts w:cstheme="minorHAnsi"/>
              </w:rPr>
            </w:pPr>
            <w:r>
              <w:rPr>
                <w:rFonts w:cstheme="minorHAnsi"/>
              </w:rPr>
              <w:t>247</w:t>
            </w:r>
          </w:p>
        </w:tc>
        <w:tc>
          <w:tcPr>
            <w:tcW w:w="1064" w:type="dxa"/>
            <w:tcBorders>
              <w:top w:val="nil"/>
              <w:left w:val="nil"/>
              <w:bottom w:val="nil"/>
              <w:right w:val="nil"/>
            </w:tcBorders>
            <w:shd w:val="clear" w:color="auto" w:fill="auto"/>
            <w:vAlign w:val="center"/>
          </w:tcPr>
          <w:p w14:paraId="4F64A560" w14:textId="27B2A355" w:rsidR="00BF7895" w:rsidRPr="00DC55EC" w:rsidRDefault="00956B75" w:rsidP="00DC55EC">
            <w:pPr>
              <w:spacing w:line="252" w:lineRule="auto"/>
              <w:ind w:left="95" w:right="180"/>
              <w:jc w:val="right"/>
              <w:rPr>
                <w:rFonts w:cstheme="minorHAnsi"/>
              </w:rPr>
            </w:pPr>
            <w:r>
              <w:rPr>
                <w:rFonts w:cstheme="minorHAnsi"/>
              </w:rPr>
              <w:t>20.5</w:t>
            </w:r>
            <w:r w:rsidR="00BF7895" w:rsidRPr="00DC55EC">
              <w:rPr>
                <w:rFonts w:cstheme="minorHAnsi"/>
              </w:rPr>
              <w:t>%</w:t>
            </w:r>
          </w:p>
        </w:tc>
      </w:tr>
      <w:tr w:rsidR="00BF7895" w:rsidRPr="00DC55EC" w14:paraId="45B60ACF" w14:textId="77777777" w:rsidTr="00F41BD7">
        <w:trPr>
          <w:trHeight w:val="288"/>
        </w:trPr>
        <w:tc>
          <w:tcPr>
            <w:tcW w:w="1668"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0639947" w14:textId="3580130C" w:rsidR="00BF7895" w:rsidRPr="00DC55EC" w:rsidRDefault="0043444E" w:rsidP="001A5F8A">
            <w:pPr>
              <w:spacing w:line="252" w:lineRule="auto"/>
              <w:ind w:left="62" w:right="100"/>
              <w:rPr>
                <w:rFonts w:cstheme="minorHAnsi"/>
              </w:rPr>
            </w:pPr>
            <w:r w:rsidRPr="00DC55EC">
              <w:rPr>
                <w:rFonts w:cstheme="minorHAnsi"/>
              </w:rPr>
              <w:t xml:space="preserve">SE WI </w:t>
            </w:r>
            <w:r w:rsidR="00BF7895" w:rsidRPr="00DC55EC">
              <w:rPr>
                <w:rFonts w:cstheme="minorHAnsi"/>
              </w:rPr>
              <w:t>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7FC194D" w14:textId="23BC61AE" w:rsidR="00BF7895" w:rsidRPr="00DC55EC" w:rsidRDefault="00956B75" w:rsidP="001A5F8A">
            <w:pPr>
              <w:spacing w:line="252" w:lineRule="auto"/>
              <w:ind w:right="100"/>
              <w:rPr>
                <w:rFonts w:cstheme="minorHAnsi"/>
              </w:rPr>
            </w:pPr>
            <w:r>
              <w:rPr>
                <w:rFonts w:cstheme="minorHAnsi"/>
              </w:rPr>
              <w:t>3,135</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2D637704" w14:textId="356DEA48" w:rsidR="00BF7895" w:rsidRPr="00DC55EC" w:rsidRDefault="00956B75" w:rsidP="001A5F8A">
            <w:pPr>
              <w:spacing w:line="252" w:lineRule="auto"/>
              <w:ind w:right="100"/>
              <w:rPr>
                <w:rFonts w:cstheme="minorHAnsi"/>
              </w:rPr>
            </w:pPr>
            <w:r>
              <w:rPr>
                <w:rFonts w:cstheme="minorHAnsi"/>
              </w:rPr>
              <w:t>3,464</w:t>
            </w:r>
          </w:p>
        </w:tc>
        <w:tc>
          <w:tcPr>
            <w:tcW w:w="1064" w:type="dxa"/>
            <w:tcBorders>
              <w:top w:val="nil"/>
              <w:left w:val="nil"/>
              <w:bottom w:val="nil"/>
              <w:right w:val="nil"/>
            </w:tcBorders>
            <w:shd w:val="clear" w:color="auto" w:fill="DEEAF6" w:themeFill="accent1" w:themeFillTint="33"/>
            <w:vAlign w:val="center"/>
          </w:tcPr>
          <w:p w14:paraId="5BD99856" w14:textId="20F20420" w:rsidR="00BF7895" w:rsidRPr="00DC55EC" w:rsidRDefault="00956B75" w:rsidP="00DC55EC">
            <w:pPr>
              <w:spacing w:line="252" w:lineRule="auto"/>
              <w:ind w:left="95" w:right="180"/>
              <w:jc w:val="right"/>
              <w:rPr>
                <w:rFonts w:cstheme="minorHAnsi"/>
              </w:rPr>
            </w:pPr>
            <w:r>
              <w:rPr>
                <w:rFonts w:cstheme="minorHAnsi"/>
              </w:rPr>
              <w:t>10.5</w:t>
            </w:r>
            <w:r w:rsidR="00BF7895" w:rsidRPr="00DC55EC">
              <w:rPr>
                <w:rFonts w:cstheme="minorHAnsi"/>
              </w:rPr>
              <w:t>%</w:t>
            </w:r>
          </w:p>
        </w:tc>
      </w:tr>
      <w:tr w:rsidR="001A5F8A" w:rsidRPr="00DC55EC" w14:paraId="5EED501A" w14:textId="77777777" w:rsidTr="00DC55EC">
        <w:trPr>
          <w:trHeight w:val="144"/>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tcPr>
          <w:p w14:paraId="68820456" w14:textId="77777777" w:rsidR="001A5F8A" w:rsidRPr="00DC55EC" w:rsidRDefault="001A5F8A" w:rsidP="001A5F8A">
            <w:pPr>
              <w:spacing w:line="252" w:lineRule="auto"/>
              <w:ind w:left="95" w:right="100"/>
              <w:rPr>
                <w:rFonts w:cstheme="minorHAnsi"/>
                <w:sz w:val="20"/>
                <w:szCs w:val="20"/>
              </w:rPr>
            </w:pPr>
          </w:p>
        </w:tc>
      </w:tr>
      <w:tr w:rsidR="004616F1" w:rsidRPr="00DC55EC" w14:paraId="57949E39" w14:textId="77777777" w:rsidTr="00DC55EC">
        <w:trPr>
          <w:trHeight w:val="288"/>
        </w:trPr>
        <w:tc>
          <w:tcPr>
            <w:tcW w:w="4590" w:type="dxa"/>
            <w:gridSpan w:val="4"/>
            <w:tcBorders>
              <w:top w:val="nil"/>
              <w:left w:val="nil"/>
              <w:bottom w:val="nil"/>
              <w:right w:val="nil"/>
            </w:tcBorders>
            <w:shd w:val="clear" w:color="auto" w:fill="auto"/>
            <w:tcMar>
              <w:top w:w="0" w:type="dxa"/>
              <w:left w:w="108" w:type="dxa"/>
              <w:bottom w:w="0" w:type="dxa"/>
              <w:right w:w="108" w:type="dxa"/>
            </w:tcMar>
            <w:vAlign w:val="center"/>
          </w:tcPr>
          <w:p w14:paraId="4608B856" w14:textId="1B57BA16" w:rsidR="004616F1" w:rsidRPr="00DC55EC" w:rsidRDefault="0055631D" w:rsidP="001A5F8A">
            <w:pPr>
              <w:spacing w:line="252" w:lineRule="auto"/>
              <w:ind w:left="-105" w:right="100"/>
              <w:rPr>
                <w:rFonts w:ascii="Arial Narrow" w:hAnsi="Arial Narrow" w:cstheme="minorHAnsi"/>
              </w:rPr>
            </w:pPr>
            <w:r w:rsidRPr="006D6799">
              <w:rPr>
                <w:rFonts w:cstheme="minorHAnsi"/>
                <w:b/>
              </w:rPr>
              <w:t xml:space="preserve">Listings Through </w:t>
            </w:r>
            <w:r w:rsidR="00FB5F93" w:rsidRPr="006D6799">
              <w:rPr>
                <w:rFonts w:cstheme="minorHAnsi"/>
                <w:b/>
              </w:rPr>
              <w:t>3</w:t>
            </w:r>
            <w:r w:rsidR="00FB5F93" w:rsidRPr="006D6799">
              <w:rPr>
                <w:rFonts w:cstheme="minorHAnsi"/>
                <w:b/>
                <w:vertAlign w:val="superscript"/>
              </w:rPr>
              <w:t>rd</w:t>
            </w:r>
            <w:r w:rsidR="004616F1" w:rsidRPr="006D6799">
              <w:rPr>
                <w:rFonts w:cstheme="minorHAnsi"/>
                <w:b/>
              </w:rPr>
              <w:t xml:space="preserve"> </w:t>
            </w:r>
            <w:r w:rsidR="006D6799" w:rsidRPr="006D6799">
              <w:rPr>
                <w:rFonts w:cstheme="minorHAnsi"/>
                <w:b/>
              </w:rPr>
              <w:t>Qtr.</w:t>
            </w:r>
            <w:r w:rsidR="004616F1" w:rsidRPr="00DC55EC">
              <w:rPr>
                <w:rFonts w:ascii="Arial Narrow" w:hAnsi="Arial Narrow" w:cstheme="minorHAnsi"/>
                <w:b/>
              </w:rPr>
              <w:t xml:space="preserve"> </w:t>
            </w:r>
            <w:r w:rsidR="004616F1" w:rsidRPr="00DC55EC">
              <w:rPr>
                <w:rFonts w:ascii="Arial Narrow" w:hAnsi="Arial Narrow" w:cstheme="minorHAnsi"/>
                <w:sz w:val="20"/>
                <w:szCs w:val="20"/>
              </w:rPr>
              <w:t xml:space="preserve">(Jan 1 – </w:t>
            </w:r>
            <w:r w:rsidR="00956B75">
              <w:rPr>
                <w:rFonts w:ascii="Arial Narrow" w:hAnsi="Arial Narrow" w:cstheme="minorHAnsi"/>
                <w:sz w:val="20"/>
                <w:szCs w:val="20"/>
              </w:rPr>
              <w:t>Sept</w:t>
            </w:r>
            <w:r w:rsidR="004616F1" w:rsidRPr="00DC55EC">
              <w:rPr>
                <w:rFonts w:ascii="Arial Narrow" w:hAnsi="Arial Narrow" w:cstheme="minorHAnsi"/>
                <w:sz w:val="20"/>
                <w:szCs w:val="20"/>
              </w:rPr>
              <w:t xml:space="preserve"> 3</w:t>
            </w:r>
            <w:r w:rsidR="00F03600" w:rsidRPr="00DC55EC">
              <w:rPr>
                <w:rFonts w:ascii="Arial Narrow" w:hAnsi="Arial Narrow" w:cstheme="minorHAnsi"/>
                <w:sz w:val="20"/>
                <w:szCs w:val="20"/>
              </w:rPr>
              <w:t>0</w:t>
            </w:r>
            <w:r w:rsidR="004616F1" w:rsidRPr="00DC55EC">
              <w:rPr>
                <w:rFonts w:ascii="Arial Narrow" w:hAnsi="Arial Narrow" w:cstheme="minorHAnsi"/>
                <w:sz w:val="20"/>
                <w:szCs w:val="20"/>
              </w:rPr>
              <w:t>)</w:t>
            </w:r>
          </w:p>
        </w:tc>
      </w:tr>
      <w:tr w:rsidR="001A5F8A" w:rsidRPr="00DC55EC" w14:paraId="6C236639" w14:textId="77777777" w:rsidTr="00DC55EC">
        <w:trPr>
          <w:trHeight w:val="288"/>
        </w:trPr>
        <w:tc>
          <w:tcPr>
            <w:tcW w:w="1668" w:type="dxa"/>
            <w:tcBorders>
              <w:top w:val="nil"/>
              <w:left w:val="nil"/>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5423A247" w14:textId="25158A13" w:rsidR="004616F1" w:rsidRPr="00DC55EC" w:rsidRDefault="004616F1" w:rsidP="001A5F8A">
            <w:pPr>
              <w:spacing w:line="252" w:lineRule="auto"/>
              <w:ind w:left="62" w:right="100"/>
              <w:rPr>
                <w:rFonts w:cstheme="minorHAnsi"/>
                <w:b/>
              </w:rPr>
            </w:pPr>
            <w:r w:rsidRPr="00DC55EC">
              <w:rPr>
                <w:rFonts w:cstheme="minorHAnsi"/>
                <w:b/>
                <w:color w:val="FFFFFF" w:themeColor="background1"/>
              </w:rPr>
              <w:t>County</w:t>
            </w:r>
          </w:p>
        </w:tc>
        <w:tc>
          <w:tcPr>
            <w:tcW w:w="92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76155947" w14:textId="465ECDFF" w:rsidR="004616F1" w:rsidRPr="00DC55EC" w:rsidRDefault="004616F1" w:rsidP="001A5F8A">
            <w:pPr>
              <w:spacing w:line="252" w:lineRule="auto"/>
              <w:ind w:right="100"/>
              <w:jc w:val="center"/>
              <w:rPr>
                <w:rFonts w:cstheme="minorHAnsi"/>
              </w:rPr>
            </w:pPr>
            <w:r w:rsidRPr="00DC55EC">
              <w:rPr>
                <w:rFonts w:cstheme="minorHAnsi"/>
                <w:color w:val="FFFFFF" w:themeColor="background1"/>
              </w:rPr>
              <w:t>2019</w:t>
            </w:r>
          </w:p>
        </w:tc>
        <w:tc>
          <w:tcPr>
            <w:tcW w:w="929" w:type="dxa"/>
            <w:tcBorders>
              <w:top w:val="nil"/>
              <w:left w:val="single" w:sz="12" w:space="0" w:color="FFFFFF" w:themeColor="background1"/>
              <w:bottom w:val="single" w:sz="12" w:space="0" w:color="FFFFFF" w:themeColor="background1"/>
              <w:right w:val="single" w:sz="12" w:space="0" w:color="FFFFFF" w:themeColor="background1"/>
            </w:tcBorders>
            <w:shd w:val="clear" w:color="auto" w:fill="1F4E79" w:themeFill="accent1" w:themeFillShade="80"/>
            <w:tcMar>
              <w:top w:w="0" w:type="dxa"/>
              <w:left w:w="108" w:type="dxa"/>
              <w:bottom w:w="0" w:type="dxa"/>
              <w:right w:w="108" w:type="dxa"/>
            </w:tcMar>
            <w:vAlign w:val="center"/>
          </w:tcPr>
          <w:p w14:paraId="2C0EF0AE" w14:textId="3E119A56" w:rsidR="004616F1" w:rsidRPr="00DC55EC" w:rsidRDefault="004616F1" w:rsidP="001A5F8A">
            <w:pPr>
              <w:spacing w:line="252" w:lineRule="auto"/>
              <w:ind w:right="100"/>
              <w:jc w:val="center"/>
              <w:rPr>
                <w:rFonts w:cstheme="minorHAnsi"/>
              </w:rPr>
            </w:pPr>
            <w:r w:rsidRPr="00DC55EC">
              <w:rPr>
                <w:rFonts w:cstheme="minorHAnsi"/>
                <w:color w:val="FFFFFF" w:themeColor="background1"/>
              </w:rPr>
              <w:t>2020</w:t>
            </w:r>
          </w:p>
        </w:tc>
        <w:tc>
          <w:tcPr>
            <w:tcW w:w="1064" w:type="dxa"/>
            <w:tcBorders>
              <w:top w:val="nil"/>
              <w:left w:val="single" w:sz="12" w:space="0" w:color="FFFFFF" w:themeColor="background1"/>
              <w:bottom w:val="single" w:sz="12" w:space="0" w:color="FFFFFF" w:themeColor="background1"/>
              <w:right w:val="nil"/>
            </w:tcBorders>
            <w:shd w:val="clear" w:color="auto" w:fill="1F4E79" w:themeFill="accent1" w:themeFillShade="80"/>
            <w:vAlign w:val="center"/>
          </w:tcPr>
          <w:p w14:paraId="54340EAA" w14:textId="7F02BA22" w:rsidR="004616F1" w:rsidRPr="00DC55EC" w:rsidRDefault="004616F1" w:rsidP="00DC55EC">
            <w:pPr>
              <w:spacing w:line="252" w:lineRule="auto"/>
              <w:ind w:left="95"/>
              <w:jc w:val="center"/>
              <w:rPr>
                <w:rFonts w:cstheme="minorHAnsi"/>
              </w:rPr>
            </w:pPr>
            <w:r w:rsidRPr="00DC55EC">
              <w:rPr>
                <w:rFonts w:cstheme="minorHAnsi"/>
                <w:color w:val="FFFFFF" w:themeColor="background1"/>
              </w:rPr>
              <w:t>% Change</w:t>
            </w:r>
          </w:p>
        </w:tc>
      </w:tr>
      <w:tr w:rsidR="00EB49AC" w:rsidRPr="00DC55EC" w14:paraId="41E4B642" w14:textId="77777777" w:rsidTr="00D34058">
        <w:trPr>
          <w:trHeight w:val="288"/>
        </w:trPr>
        <w:tc>
          <w:tcPr>
            <w:tcW w:w="1668"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center"/>
          </w:tcPr>
          <w:p w14:paraId="4CDB77E9" w14:textId="7E30D85E" w:rsidR="00EB49AC" w:rsidRPr="00956B75" w:rsidRDefault="00EB49AC" w:rsidP="00EB49AC">
            <w:pPr>
              <w:spacing w:line="252" w:lineRule="auto"/>
              <w:ind w:left="62" w:right="100"/>
              <w:rPr>
                <w:rFonts w:cstheme="minorHAnsi"/>
                <w:b/>
                <w:color w:val="FFFFFF" w:themeColor="background1"/>
              </w:rPr>
            </w:pPr>
            <w:r w:rsidRPr="00956B75">
              <w:rPr>
                <w:rFonts w:cstheme="minorHAnsi"/>
              </w:rPr>
              <w:t>Milwaukee</w:t>
            </w:r>
          </w:p>
        </w:tc>
        <w:tc>
          <w:tcPr>
            <w:tcW w:w="929"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bottom"/>
          </w:tcPr>
          <w:p w14:paraId="1A94161D" w14:textId="14440FD2" w:rsidR="00EB49AC" w:rsidRPr="00956B75" w:rsidRDefault="00EB49AC" w:rsidP="00EB49AC">
            <w:pPr>
              <w:spacing w:line="252" w:lineRule="auto"/>
              <w:ind w:right="100"/>
              <w:rPr>
                <w:rFonts w:cstheme="minorHAnsi"/>
                <w:color w:val="FFFFFF" w:themeColor="background1"/>
              </w:rPr>
            </w:pPr>
            <w:r w:rsidRPr="00956B75">
              <w:rPr>
                <w:rFonts w:cstheme="minorHAnsi"/>
              </w:rPr>
              <w:t>12</w:t>
            </w:r>
            <w:r w:rsidR="00956B75">
              <w:rPr>
                <w:rFonts w:cstheme="minorHAnsi"/>
              </w:rPr>
              <w:t>,</w:t>
            </w:r>
            <w:r w:rsidRPr="00956B75">
              <w:rPr>
                <w:rFonts w:cstheme="minorHAnsi"/>
              </w:rPr>
              <w:t>087</w:t>
            </w:r>
          </w:p>
        </w:tc>
        <w:tc>
          <w:tcPr>
            <w:tcW w:w="929" w:type="dxa"/>
            <w:tcBorders>
              <w:top w:val="single" w:sz="12" w:space="0" w:color="FFFFFF" w:themeColor="background1"/>
              <w:left w:val="nil"/>
              <w:bottom w:val="nil"/>
              <w:right w:val="nil"/>
            </w:tcBorders>
            <w:shd w:val="clear" w:color="auto" w:fill="auto"/>
            <w:tcMar>
              <w:top w:w="0" w:type="dxa"/>
              <w:left w:w="108" w:type="dxa"/>
              <w:bottom w:w="0" w:type="dxa"/>
              <w:right w:w="108" w:type="dxa"/>
            </w:tcMar>
            <w:vAlign w:val="bottom"/>
          </w:tcPr>
          <w:p w14:paraId="3E2122AA" w14:textId="7F950DEC" w:rsidR="00EB49AC" w:rsidRPr="00956B75" w:rsidRDefault="00EB49AC" w:rsidP="00EB49AC">
            <w:pPr>
              <w:spacing w:line="252" w:lineRule="auto"/>
              <w:ind w:right="100"/>
              <w:rPr>
                <w:rFonts w:cstheme="minorHAnsi"/>
                <w:color w:val="FFFFFF" w:themeColor="background1"/>
              </w:rPr>
            </w:pPr>
            <w:r w:rsidRPr="00956B75">
              <w:rPr>
                <w:rFonts w:cstheme="minorHAnsi"/>
              </w:rPr>
              <w:t>11</w:t>
            </w:r>
            <w:r w:rsidR="00956B75">
              <w:rPr>
                <w:rFonts w:cstheme="minorHAnsi"/>
              </w:rPr>
              <w:t>,</w:t>
            </w:r>
            <w:r w:rsidRPr="00956B75">
              <w:rPr>
                <w:rFonts w:cstheme="minorHAnsi"/>
              </w:rPr>
              <w:t>717</w:t>
            </w:r>
          </w:p>
        </w:tc>
        <w:tc>
          <w:tcPr>
            <w:tcW w:w="1064" w:type="dxa"/>
            <w:tcBorders>
              <w:top w:val="single" w:sz="12" w:space="0" w:color="FFFFFF" w:themeColor="background1"/>
              <w:left w:val="nil"/>
              <w:bottom w:val="nil"/>
              <w:right w:val="nil"/>
            </w:tcBorders>
            <w:shd w:val="clear" w:color="auto" w:fill="auto"/>
            <w:vAlign w:val="center"/>
          </w:tcPr>
          <w:p w14:paraId="183B9C37" w14:textId="7EDC673F" w:rsidR="00EB49AC" w:rsidRPr="00956B75" w:rsidRDefault="00956B75" w:rsidP="00EB49AC">
            <w:pPr>
              <w:spacing w:line="252" w:lineRule="auto"/>
              <w:ind w:left="95" w:right="180"/>
              <w:jc w:val="right"/>
              <w:rPr>
                <w:rFonts w:cstheme="minorHAnsi"/>
                <w:color w:val="FFFFFF" w:themeColor="background1"/>
              </w:rPr>
            </w:pPr>
            <w:r>
              <w:rPr>
                <w:rFonts w:cstheme="minorHAnsi"/>
              </w:rPr>
              <w:t>-3.1</w:t>
            </w:r>
            <w:r w:rsidR="00EB49AC" w:rsidRPr="00956B75">
              <w:rPr>
                <w:rFonts w:cstheme="minorHAnsi"/>
              </w:rPr>
              <w:t>%</w:t>
            </w:r>
          </w:p>
        </w:tc>
      </w:tr>
      <w:tr w:rsidR="00EB49AC" w:rsidRPr="00DC55EC" w14:paraId="5E9F4508" w14:textId="77777777" w:rsidTr="00D34058">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5E35102A" w14:textId="1F2832CD" w:rsidR="00EB49AC" w:rsidRPr="00956B75" w:rsidRDefault="00EB49AC" w:rsidP="00EB49AC">
            <w:pPr>
              <w:spacing w:line="252" w:lineRule="auto"/>
              <w:ind w:left="62" w:right="100"/>
              <w:rPr>
                <w:rFonts w:cstheme="minorHAnsi"/>
              </w:rPr>
            </w:pPr>
            <w:r w:rsidRPr="00956B75">
              <w:rPr>
                <w:rFonts w:cstheme="minorHAnsi"/>
              </w:rPr>
              <w:t>Waukesha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34BA03DC" w14:textId="121FB326" w:rsidR="00EB49AC" w:rsidRPr="00956B75" w:rsidRDefault="00EB49AC" w:rsidP="00EB49AC">
            <w:pPr>
              <w:spacing w:line="252" w:lineRule="auto"/>
              <w:ind w:right="100"/>
              <w:rPr>
                <w:rFonts w:cstheme="minorHAnsi"/>
              </w:rPr>
            </w:pPr>
            <w:r w:rsidRPr="00956B75">
              <w:rPr>
                <w:rFonts w:cstheme="minorHAnsi"/>
              </w:rPr>
              <w:t>6</w:t>
            </w:r>
            <w:r w:rsidR="00956B75">
              <w:rPr>
                <w:rFonts w:cstheme="minorHAnsi"/>
              </w:rPr>
              <w:t>,</w:t>
            </w:r>
            <w:r w:rsidRPr="00956B75">
              <w:rPr>
                <w:rFonts w:cstheme="minorHAnsi"/>
              </w:rPr>
              <w:t>284</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5F32D846" w14:textId="7718F715" w:rsidR="00EB49AC" w:rsidRPr="00956B75" w:rsidRDefault="00EB49AC" w:rsidP="00EB49AC">
            <w:pPr>
              <w:spacing w:line="252" w:lineRule="auto"/>
              <w:ind w:right="100"/>
              <w:rPr>
                <w:rFonts w:cstheme="minorHAnsi"/>
              </w:rPr>
            </w:pPr>
            <w:r w:rsidRPr="00956B75">
              <w:rPr>
                <w:rFonts w:cstheme="minorHAnsi"/>
              </w:rPr>
              <w:t>5</w:t>
            </w:r>
            <w:r w:rsidR="00956B75">
              <w:rPr>
                <w:rFonts w:cstheme="minorHAnsi"/>
              </w:rPr>
              <w:t>,</w:t>
            </w:r>
            <w:r w:rsidRPr="00956B75">
              <w:rPr>
                <w:rFonts w:cstheme="minorHAnsi"/>
              </w:rPr>
              <w:t>881</w:t>
            </w:r>
          </w:p>
        </w:tc>
        <w:tc>
          <w:tcPr>
            <w:tcW w:w="1064" w:type="dxa"/>
            <w:tcBorders>
              <w:top w:val="nil"/>
              <w:left w:val="nil"/>
              <w:bottom w:val="nil"/>
              <w:right w:val="nil"/>
            </w:tcBorders>
            <w:shd w:val="clear" w:color="auto" w:fill="DEEAF6" w:themeFill="accent1" w:themeFillTint="33"/>
            <w:vAlign w:val="center"/>
          </w:tcPr>
          <w:p w14:paraId="3C9FEEF7" w14:textId="0B4FC67B" w:rsidR="00EB49AC" w:rsidRPr="00956B75" w:rsidRDefault="00956B75" w:rsidP="00EB49AC">
            <w:pPr>
              <w:spacing w:line="252" w:lineRule="auto"/>
              <w:ind w:left="95" w:right="180"/>
              <w:jc w:val="right"/>
              <w:rPr>
                <w:rFonts w:cstheme="minorHAnsi"/>
              </w:rPr>
            </w:pPr>
            <w:r>
              <w:rPr>
                <w:rFonts w:cstheme="minorHAnsi"/>
              </w:rPr>
              <w:t>-6.4</w:t>
            </w:r>
            <w:r w:rsidR="00EB49AC" w:rsidRPr="00956B75">
              <w:rPr>
                <w:rFonts w:cstheme="minorHAnsi"/>
              </w:rPr>
              <w:t>%</w:t>
            </w:r>
          </w:p>
        </w:tc>
      </w:tr>
      <w:tr w:rsidR="00EB49AC" w:rsidRPr="00DC55EC" w14:paraId="6E6AC74C" w14:textId="77777777" w:rsidTr="00407D21">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040448A1" w14:textId="116C9258" w:rsidR="00EB49AC" w:rsidRPr="00956B75" w:rsidRDefault="00EB49AC" w:rsidP="00EB49AC">
            <w:pPr>
              <w:spacing w:line="252" w:lineRule="auto"/>
              <w:ind w:left="62" w:right="100"/>
              <w:rPr>
                <w:rFonts w:cstheme="minorHAnsi"/>
              </w:rPr>
            </w:pPr>
            <w:r w:rsidRPr="00956B75">
              <w:rPr>
                <w:rFonts w:cstheme="minorHAnsi"/>
              </w:rPr>
              <w:t>Washington</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336304BB" w14:textId="652873B2" w:rsidR="00EB49AC" w:rsidRPr="00956B75" w:rsidRDefault="00EB49AC" w:rsidP="00EB49AC">
            <w:pPr>
              <w:spacing w:line="252" w:lineRule="auto"/>
              <w:ind w:right="100"/>
              <w:rPr>
                <w:rFonts w:cstheme="minorHAnsi"/>
              </w:rPr>
            </w:pPr>
            <w:r w:rsidRPr="00956B75">
              <w:rPr>
                <w:rFonts w:cstheme="minorHAnsi"/>
              </w:rPr>
              <w:t>2</w:t>
            </w:r>
            <w:r w:rsidR="00956B75">
              <w:rPr>
                <w:rFonts w:cstheme="minorHAnsi"/>
              </w:rPr>
              <w:t>,</w:t>
            </w:r>
            <w:r w:rsidRPr="00956B75">
              <w:rPr>
                <w:rFonts w:cstheme="minorHAnsi"/>
              </w:rPr>
              <w:t>031</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78B95545" w14:textId="4A6A9D14" w:rsidR="00EB49AC" w:rsidRPr="00956B75" w:rsidRDefault="00EB49AC" w:rsidP="00EB49AC">
            <w:pPr>
              <w:spacing w:line="252" w:lineRule="auto"/>
              <w:ind w:right="100"/>
              <w:rPr>
                <w:rFonts w:cstheme="minorHAnsi"/>
              </w:rPr>
            </w:pPr>
            <w:r w:rsidRPr="00956B75">
              <w:rPr>
                <w:rFonts w:cstheme="minorHAnsi"/>
              </w:rPr>
              <w:t>1</w:t>
            </w:r>
            <w:r w:rsidR="00956B75">
              <w:rPr>
                <w:rFonts w:cstheme="minorHAnsi"/>
              </w:rPr>
              <w:t>,</w:t>
            </w:r>
            <w:r w:rsidRPr="00956B75">
              <w:rPr>
                <w:rFonts w:cstheme="minorHAnsi"/>
              </w:rPr>
              <w:t>923</w:t>
            </w:r>
          </w:p>
        </w:tc>
        <w:tc>
          <w:tcPr>
            <w:tcW w:w="1064" w:type="dxa"/>
            <w:tcBorders>
              <w:top w:val="nil"/>
              <w:left w:val="nil"/>
              <w:bottom w:val="nil"/>
              <w:right w:val="nil"/>
            </w:tcBorders>
            <w:shd w:val="clear" w:color="auto" w:fill="auto"/>
            <w:vAlign w:val="center"/>
          </w:tcPr>
          <w:p w14:paraId="79092203" w14:textId="5D9B546B" w:rsidR="00EB49AC" w:rsidRPr="00956B75" w:rsidRDefault="00956B75" w:rsidP="00EB49AC">
            <w:pPr>
              <w:spacing w:line="252" w:lineRule="auto"/>
              <w:ind w:left="95" w:right="180"/>
              <w:jc w:val="right"/>
              <w:rPr>
                <w:rFonts w:cstheme="minorHAnsi"/>
              </w:rPr>
            </w:pPr>
            <w:r>
              <w:rPr>
                <w:rFonts w:cstheme="minorHAnsi"/>
              </w:rPr>
              <w:t>-5.3</w:t>
            </w:r>
            <w:r w:rsidR="00EB49AC" w:rsidRPr="00956B75">
              <w:rPr>
                <w:rFonts w:cstheme="minorHAnsi"/>
              </w:rPr>
              <w:t>%</w:t>
            </w:r>
          </w:p>
        </w:tc>
      </w:tr>
      <w:tr w:rsidR="00EB49AC" w:rsidRPr="00DC55EC" w14:paraId="25A3DBF1" w14:textId="77777777" w:rsidTr="00407D21">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31D41F27" w14:textId="1A396C9E" w:rsidR="00EB49AC" w:rsidRPr="00956B75" w:rsidRDefault="00EB49AC" w:rsidP="00EB49AC">
            <w:pPr>
              <w:spacing w:line="252" w:lineRule="auto"/>
              <w:ind w:left="62" w:right="100"/>
              <w:rPr>
                <w:rFonts w:cstheme="minorHAnsi"/>
              </w:rPr>
            </w:pPr>
            <w:r w:rsidRPr="00956B75">
              <w:rPr>
                <w:rFonts w:cstheme="minorHAnsi"/>
              </w:rPr>
              <w:t>Ozaukee</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31BBF7B5" w14:textId="5BEB6B06" w:rsidR="00EB49AC" w:rsidRPr="00956B75" w:rsidRDefault="00EB49AC" w:rsidP="00EB49AC">
            <w:pPr>
              <w:spacing w:line="252" w:lineRule="auto"/>
              <w:ind w:right="100"/>
              <w:rPr>
                <w:rFonts w:cstheme="minorHAnsi"/>
              </w:rPr>
            </w:pPr>
            <w:r w:rsidRPr="00956B75">
              <w:rPr>
                <w:rFonts w:cstheme="minorHAnsi"/>
              </w:rPr>
              <w:t>1</w:t>
            </w:r>
            <w:r w:rsidR="00956B75">
              <w:rPr>
                <w:rFonts w:cstheme="minorHAnsi"/>
              </w:rPr>
              <w:t>,</w:t>
            </w:r>
            <w:r w:rsidRPr="00956B75">
              <w:rPr>
                <w:rFonts w:cstheme="minorHAnsi"/>
              </w:rPr>
              <w:t>505</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131A9ABF" w14:textId="7175AC94" w:rsidR="00EB49AC" w:rsidRPr="00956B75" w:rsidRDefault="00EB49AC" w:rsidP="00EB49AC">
            <w:pPr>
              <w:spacing w:line="252" w:lineRule="auto"/>
              <w:ind w:right="100"/>
              <w:rPr>
                <w:rFonts w:cstheme="minorHAnsi"/>
              </w:rPr>
            </w:pPr>
            <w:r w:rsidRPr="00956B75">
              <w:rPr>
                <w:rFonts w:cstheme="minorHAnsi"/>
              </w:rPr>
              <w:t>1</w:t>
            </w:r>
            <w:r w:rsidR="00956B75">
              <w:rPr>
                <w:rFonts w:cstheme="minorHAnsi"/>
              </w:rPr>
              <w:t>,</w:t>
            </w:r>
            <w:r w:rsidRPr="00956B75">
              <w:rPr>
                <w:rFonts w:cstheme="minorHAnsi"/>
              </w:rPr>
              <w:t>423</w:t>
            </w:r>
          </w:p>
        </w:tc>
        <w:tc>
          <w:tcPr>
            <w:tcW w:w="1064" w:type="dxa"/>
            <w:tcBorders>
              <w:top w:val="nil"/>
              <w:left w:val="nil"/>
              <w:bottom w:val="nil"/>
              <w:right w:val="nil"/>
            </w:tcBorders>
            <w:shd w:val="clear" w:color="auto" w:fill="DEEAF6" w:themeFill="accent1" w:themeFillTint="33"/>
            <w:vAlign w:val="center"/>
          </w:tcPr>
          <w:p w14:paraId="7EAF4981" w14:textId="409A84B2" w:rsidR="00EB49AC" w:rsidRPr="00956B75" w:rsidRDefault="00956B75" w:rsidP="00EB49AC">
            <w:pPr>
              <w:spacing w:line="252" w:lineRule="auto"/>
              <w:ind w:left="95" w:right="180"/>
              <w:jc w:val="right"/>
              <w:rPr>
                <w:rFonts w:cstheme="minorHAnsi"/>
              </w:rPr>
            </w:pPr>
            <w:r>
              <w:rPr>
                <w:rFonts w:cstheme="minorHAnsi"/>
              </w:rPr>
              <w:t>-5.4</w:t>
            </w:r>
            <w:r w:rsidR="00EB49AC" w:rsidRPr="00956B75">
              <w:rPr>
                <w:rFonts w:cstheme="minorHAnsi"/>
              </w:rPr>
              <w:t>%</w:t>
            </w:r>
          </w:p>
        </w:tc>
      </w:tr>
      <w:tr w:rsidR="00A761D3" w:rsidRPr="00DC55EC" w14:paraId="70771BE6" w14:textId="77777777" w:rsidTr="00407D21">
        <w:trPr>
          <w:trHeight w:val="288"/>
        </w:trPr>
        <w:tc>
          <w:tcPr>
            <w:tcW w:w="1668" w:type="dxa"/>
            <w:tcBorders>
              <w:top w:val="single" w:sz="4" w:space="0" w:color="auto"/>
              <w:left w:val="nil"/>
              <w:bottom w:val="nil"/>
              <w:right w:val="nil"/>
            </w:tcBorders>
            <w:shd w:val="clear" w:color="auto" w:fill="auto"/>
            <w:tcMar>
              <w:top w:w="0" w:type="dxa"/>
              <w:left w:w="108" w:type="dxa"/>
              <w:bottom w:w="0" w:type="dxa"/>
              <w:right w:w="108" w:type="dxa"/>
            </w:tcMar>
            <w:vAlign w:val="center"/>
          </w:tcPr>
          <w:p w14:paraId="0D8BDEDE" w14:textId="3DA60419" w:rsidR="00A761D3" w:rsidRPr="00956B75" w:rsidRDefault="00A761D3" w:rsidP="00A761D3">
            <w:pPr>
              <w:spacing w:line="252" w:lineRule="auto"/>
              <w:ind w:left="62" w:right="100"/>
              <w:rPr>
                <w:rFonts w:cstheme="minorHAnsi"/>
              </w:rPr>
            </w:pPr>
            <w:r w:rsidRPr="00956B75">
              <w:rPr>
                <w:rFonts w:cstheme="minorHAnsi"/>
              </w:rPr>
              <w:t>Metro Area</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tcPr>
          <w:p w14:paraId="49F18FF6" w14:textId="176DC4E0" w:rsidR="00A761D3" w:rsidRPr="00956B75" w:rsidRDefault="00956B75" w:rsidP="00A761D3">
            <w:pPr>
              <w:spacing w:line="252" w:lineRule="auto"/>
              <w:ind w:right="100"/>
              <w:rPr>
                <w:rFonts w:cstheme="minorHAnsi"/>
              </w:rPr>
            </w:pPr>
            <w:r>
              <w:rPr>
                <w:rFonts w:cstheme="minorHAnsi"/>
              </w:rPr>
              <w:t>21,907</w:t>
            </w:r>
          </w:p>
        </w:tc>
        <w:tc>
          <w:tcPr>
            <w:tcW w:w="929" w:type="dxa"/>
            <w:tcBorders>
              <w:top w:val="single" w:sz="4" w:space="0" w:color="auto"/>
              <w:left w:val="nil"/>
              <w:bottom w:val="nil"/>
              <w:right w:val="nil"/>
            </w:tcBorders>
            <w:shd w:val="clear" w:color="auto" w:fill="auto"/>
            <w:tcMar>
              <w:top w:w="0" w:type="dxa"/>
              <w:left w:w="108" w:type="dxa"/>
              <w:bottom w:w="0" w:type="dxa"/>
              <w:right w:w="108" w:type="dxa"/>
            </w:tcMar>
          </w:tcPr>
          <w:p w14:paraId="532CBBBD" w14:textId="51349FFA" w:rsidR="00A761D3" w:rsidRPr="00956B75" w:rsidRDefault="00956B75" w:rsidP="00A761D3">
            <w:pPr>
              <w:spacing w:line="252" w:lineRule="auto"/>
              <w:ind w:right="100"/>
              <w:rPr>
                <w:rFonts w:cstheme="minorHAnsi"/>
              </w:rPr>
            </w:pPr>
            <w:r>
              <w:rPr>
                <w:rFonts w:cstheme="minorHAnsi"/>
              </w:rPr>
              <w:t>20,944</w:t>
            </w:r>
          </w:p>
        </w:tc>
        <w:tc>
          <w:tcPr>
            <w:tcW w:w="1064" w:type="dxa"/>
            <w:tcBorders>
              <w:top w:val="nil"/>
              <w:left w:val="nil"/>
              <w:bottom w:val="nil"/>
              <w:right w:val="nil"/>
            </w:tcBorders>
            <w:shd w:val="clear" w:color="auto" w:fill="auto"/>
            <w:vAlign w:val="center"/>
          </w:tcPr>
          <w:p w14:paraId="762B26A9" w14:textId="3D9CEB07" w:rsidR="00A761D3" w:rsidRPr="00956B75" w:rsidRDefault="00956B75" w:rsidP="00DC55EC">
            <w:pPr>
              <w:spacing w:line="252" w:lineRule="auto"/>
              <w:ind w:left="95" w:right="180"/>
              <w:jc w:val="right"/>
              <w:rPr>
                <w:rFonts w:cstheme="minorHAnsi"/>
              </w:rPr>
            </w:pPr>
            <w:r>
              <w:rPr>
                <w:rFonts w:cstheme="minorHAnsi"/>
              </w:rPr>
              <w:t>-4.4</w:t>
            </w:r>
            <w:r w:rsidR="00A761D3" w:rsidRPr="00956B75">
              <w:rPr>
                <w:rFonts w:cstheme="minorHAnsi"/>
              </w:rPr>
              <w:t>%</w:t>
            </w:r>
          </w:p>
        </w:tc>
      </w:tr>
      <w:tr w:rsidR="001A5F8A" w:rsidRPr="00DC55EC" w14:paraId="2AD2F4A7" w14:textId="77777777" w:rsidTr="00DC55EC">
        <w:trPr>
          <w:trHeight w:val="80"/>
        </w:trPr>
        <w:tc>
          <w:tcPr>
            <w:tcW w:w="4590" w:type="dxa"/>
            <w:gridSpan w:val="4"/>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1FE838AC" w14:textId="77777777" w:rsidR="001A5F8A" w:rsidRPr="00DC55EC" w:rsidRDefault="001A5F8A" w:rsidP="00DC55EC">
            <w:pPr>
              <w:spacing w:line="252" w:lineRule="auto"/>
              <w:ind w:left="95" w:right="180"/>
              <w:rPr>
                <w:rFonts w:cstheme="minorHAnsi"/>
                <w:sz w:val="10"/>
                <w:szCs w:val="10"/>
              </w:rPr>
            </w:pPr>
          </w:p>
        </w:tc>
      </w:tr>
      <w:tr w:rsidR="00EB49AC" w:rsidRPr="00DC55EC" w14:paraId="5AF340C1" w14:textId="77777777" w:rsidTr="00D34058">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70E00DD0" w14:textId="4108129E" w:rsidR="00EB49AC" w:rsidRPr="00DC55EC" w:rsidRDefault="00EB49AC" w:rsidP="00EB49AC">
            <w:pPr>
              <w:spacing w:line="252" w:lineRule="auto"/>
              <w:ind w:left="62" w:right="100"/>
              <w:rPr>
                <w:rFonts w:cstheme="minorHAnsi"/>
              </w:rPr>
            </w:pPr>
            <w:r w:rsidRPr="00DC55EC">
              <w:rPr>
                <w:rFonts w:cstheme="minorHAnsi"/>
              </w:rPr>
              <w:t>Racine</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5E7ED7F3" w14:textId="2CF1E6DF" w:rsidR="00EB49AC" w:rsidRPr="00956B75" w:rsidRDefault="00EB49AC" w:rsidP="00EB49AC">
            <w:pPr>
              <w:spacing w:line="252" w:lineRule="auto"/>
              <w:ind w:right="100"/>
              <w:rPr>
                <w:rFonts w:cstheme="minorHAnsi"/>
              </w:rPr>
            </w:pPr>
            <w:r w:rsidRPr="00956B75">
              <w:rPr>
                <w:rFonts w:cstheme="minorHAnsi"/>
              </w:rPr>
              <w:t>2</w:t>
            </w:r>
            <w:r w:rsidR="00956B75">
              <w:rPr>
                <w:rFonts w:cstheme="minorHAnsi"/>
              </w:rPr>
              <w:t>,</w:t>
            </w:r>
            <w:r w:rsidRPr="00956B75">
              <w:rPr>
                <w:rFonts w:cstheme="minorHAnsi"/>
              </w:rPr>
              <w:t>959</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432F7AFD" w14:textId="13CBD346" w:rsidR="00EB49AC" w:rsidRPr="00956B75" w:rsidRDefault="00EB49AC" w:rsidP="00EB49AC">
            <w:pPr>
              <w:spacing w:line="252" w:lineRule="auto"/>
              <w:ind w:right="100"/>
              <w:rPr>
                <w:rFonts w:cstheme="minorHAnsi"/>
              </w:rPr>
            </w:pPr>
            <w:r w:rsidRPr="00956B75">
              <w:rPr>
                <w:rFonts w:cstheme="minorHAnsi"/>
              </w:rPr>
              <w:t>2</w:t>
            </w:r>
            <w:r w:rsidR="00956B75">
              <w:rPr>
                <w:rFonts w:cstheme="minorHAnsi"/>
              </w:rPr>
              <w:t>,</w:t>
            </w:r>
            <w:r w:rsidRPr="00956B75">
              <w:rPr>
                <w:rFonts w:cstheme="minorHAnsi"/>
              </w:rPr>
              <w:t>816</w:t>
            </w:r>
          </w:p>
        </w:tc>
        <w:tc>
          <w:tcPr>
            <w:tcW w:w="1064" w:type="dxa"/>
            <w:tcBorders>
              <w:top w:val="nil"/>
              <w:left w:val="nil"/>
              <w:bottom w:val="nil"/>
              <w:right w:val="nil"/>
            </w:tcBorders>
            <w:shd w:val="clear" w:color="auto" w:fill="auto"/>
            <w:vAlign w:val="center"/>
          </w:tcPr>
          <w:p w14:paraId="0F8E2377" w14:textId="4CC59358" w:rsidR="00EB49AC" w:rsidRPr="00956B75" w:rsidRDefault="00956B75" w:rsidP="00EB49AC">
            <w:pPr>
              <w:spacing w:line="252" w:lineRule="auto"/>
              <w:ind w:left="95" w:right="180"/>
              <w:jc w:val="right"/>
              <w:rPr>
                <w:rFonts w:cstheme="minorHAnsi"/>
              </w:rPr>
            </w:pPr>
            <w:r>
              <w:rPr>
                <w:rFonts w:cstheme="minorHAnsi"/>
              </w:rPr>
              <w:t>-4.8</w:t>
            </w:r>
            <w:r w:rsidR="00EB49AC" w:rsidRPr="00956B75">
              <w:rPr>
                <w:rFonts w:cstheme="minorHAnsi"/>
              </w:rPr>
              <w:t>%</w:t>
            </w:r>
          </w:p>
        </w:tc>
      </w:tr>
      <w:tr w:rsidR="00EB49AC" w:rsidRPr="00DC55EC" w14:paraId="62048583" w14:textId="77777777" w:rsidTr="00407D21">
        <w:trPr>
          <w:trHeight w:val="288"/>
        </w:trPr>
        <w:tc>
          <w:tcPr>
            <w:tcW w:w="1668" w:type="dxa"/>
            <w:tcBorders>
              <w:top w:val="nil"/>
              <w:left w:val="nil"/>
              <w:bottom w:val="nil"/>
              <w:right w:val="nil"/>
            </w:tcBorders>
            <w:shd w:val="clear" w:color="auto" w:fill="DEEAF6" w:themeFill="accent1" w:themeFillTint="33"/>
            <w:tcMar>
              <w:top w:w="0" w:type="dxa"/>
              <w:left w:w="108" w:type="dxa"/>
              <w:bottom w:w="0" w:type="dxa"/>
              <w:right w:w="108" w:type="dxa"/>
            </w:tcMar>
            <w:vAlign w:val="center"/>
          </w:tcPr>
          <w:p w14:paraId="4B57066A" w14:textId="6282DE09" w:rsidR="00EB49AC" w:rsidRPr="00DC55EC" w:rsidRDefault="00EB49AC" w:rsidP="00EB49AC">
            <w:pPr>
              <w:spacing w:line="252" w:lineRule="auto"/>
              <w:ind w:left="62" w:right="100"/>
              <w:rPr>
                <w:rFonts w:cstheme="minorHAnsi"/>
              </w:rPr>
            </w:pPr>
            <w:r w:rsidRPr="00DC55EC">
              <w:rPr>
                <w:rFonts w:cstheme="minorHAnsi"/>
              </w:rPr>
              <w:t>Kenosha</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649DE9AC" w14:textId="253CEA36" w:rsidR="00EB49AC" w:rsidRPr="00956B75" w:rsidRDefault="00EB49AC" w:rsidP="00EB49AC">
            <w:pPr>
              <w:spacing w:line="252" w:lineRule="auto"/>
              <w:ind w:right="100"/>
              <w:rPr>
                <w:rFonts w:cstheme="minorHAnsi"/>
              </w:rPr>
            </w:pPr>
            <w:r w:rsidRPr="00956B75">
              <w:rPr>
                <w:rFonts w:cstheme="minorHAnsi"/>
              </w:rPr>
              <w:t>2</w:t>
            </w:r>
            <w:r w:rsidR="00956B75">
              <w:rPr>
                <w:rFonts w:cstheme="minorHAnsi"/>
              </w:rPr>
              <w:t>,</w:t>
            </w:r>
            <w:r w:rsidRPr="00956B75">
              <w:rPr>
                <w:rFonts w:cstheme="minorHAnsi"/>
              </w:rPr>
              <w:t>536</w:t>
            </w:r>
          </w:p>
        </w:tc>
        <w:tc>
          <w:tcPr>
            <w:tcW w:w="929" w:type="dxa"/>
            <w:tcBorders>
              <w:top w:val="nil"/>
              <w:left w:val="nil"/>
              <w:bottom w:val="nil"/>
              <w:right w:val="nil"/>
            </w:tcBorders>
            <w:shd w:val="clear" w:color="auto" w:fill="DEEAF6" w:themeFill="accent1" w:themeFillTint="33"/>
            <w:tcMar>
              <w:top w:w="0" w:type="dxa"/>
              <w:left w:w="108" w:type="dxa"/>
              <w:bottom w:w="0" w:type="dxa"/>
              <w:right w:w="108" w:type="dxa"/>
            </w:tcMar>
            <w:vAlign w:val="bottom"/>
          </w:tcPr>
          <w:p w14:paraId="191A4B2C" w14:textId="0D74D49D" w:rsidR="00EB49AC" w:rsidRPr="00956B75" w:rsidRDefault="00EB49AC" w:rsidP="00EB49AC">
            <w:pPr>
              <w:spacing w:line="252" w:lineRule="auto"/>
              <w:ind w:right="100"/>
              <w:rPr>
                <w:rFonts w:cstheme="minorHAnsi"/>
              </w:rPr>
            </w:pPr>
            <w:r w:rsidRPr="00956B75">
              <w:rPr>
                <w:rFonts w:cstheme="minorHAnsi"/>
              </w:rPr>
              <w:t>2</w:t>
            </w:r>
            <w:r w:rsidR="00956B75">
              <w:rPr>
                <w:rFonts w:cstheme="minorHAnsi"/>
              </w:rPr>
              <w:t>,</w:t>
            </w:r>
            <w:r w:rsidRPr="00956B75">
              <w:rPr>
                <w:rFonts w:cstheme="minorHAnsi"/>
              </w:rPr>
              <w:t>311</w:t>
            </w:r>
          </w:p>
        </w:tc>
        <w:tc>
          <w:tcPr>
            <w:tcW w:w="1064" w:type="dxa"/>
            <w:tcBorders>
              <w:top w:val="nil"/>
              <w:left w:val="nil"/>
              <w:bottom w:val="nil"/>
              <w:right w:val="nil"/>
            </w:tcBorders>
            <w:shd w:val="clear" w:color="auto" w:fill="DEEAF6" w:themeFill="accent1" w:themeFillTint="33"/>
            <w:vAlign w:val="center"/>
          </w:tcPr>
          <w:p w14:paraId="20C288BD" w14:textId="62D46535" w:rsidR="00EB49AC" w:rsidRPr="00956B75" w:rsidRDefault="00956B75" w:rsidP="00EB49AC">
            <w:pPr>
              <w:spacing w:line="252" w:lineRule="auto"/>
              <w:ind w:left="95" w:right="180"/>
              <w:jc w:val="right"/>
              <w:rPr>
                <w:rFonts w:cstheme="minorHAnsi"/>
              </w:rPr>
            </w:pPr>
            <w:r>
              <w:rPr>
                <w:rFonts w:cstheme="minorHAnsi"/>
              </w:rPr>
              <w:t>-8.9</w:t>
            </w:r>
            <w:r w:rsidR="00EB49AC" w:rsidRPr="00956B75">
              <w:rPr>
                <w:rFonts w:cstheme="minorHAnsi"/>
              </w:rPr>
              <w:t>%</w:t>
            </w:r>
          </w:p>
        </w:tc>
      </w:tr>
      <w:tr w:rsidR="00EB49AC" w:rsidRPr="00DC55EC" w14:paraId="5874CE6B" w14:textId="77777777" w:rsidTr="00407D21">
        <w:trPr>
          <w:trHeight w:val="288"/>
        </w:trPr>
        <w:tc>
          <w:tcPr>
            <w:tcW w:w="1668" w:type="dxa"/>
            <w:tcBorders>
              <w:top w:val="nil"/>
              <w:left w:val="nil"/>
              <w:bottom w:val="nil"/>
              <w:right w:val="nil"/>
            </w:tcBorders>
            <w:shd w:val="clear" w:color="auto" w:fill="auto"/>
            <w:tcMar>
              <w:top w:w="0" w:type="dxa"/>
              <w:left w:w="108" w:type="dxa"/>
              <w:bottom w:w="0" w:type="dxa"/>
              <w:right w:w="108" w:type="dxa"/>
            </w:tcMar>
            <w:vAlign w:val="center"/>
          </w:tcPr>
          <w:p w14:paraId="004F1819" w14:textId="141FD530" w:rsidR="00EB49AC" w:rsidRPr="00DC55EC" w:rsidRDefault="00EB49AC" w:rsidP="00EB49AC">
            <w:pPr>
              <w:spacing w:line="252" w:lineRule="auto"/>
              <w:ind w:left="62" w:right="100"/>
              <w:rPr>
                <w:rFonts w:cstheme="minorHAnsi"/>
              </w:rPr>
            </w:pPr>
            <w:r w:rsidRPr="00DC55EC">
              <w:rPr>
                <w:rFonts w:cstheme="minorHAnsi"/>
              </w:rPr>
              <w:t>Walworth</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755C2A1B" w14:textId="53F626D7" w:rsidR="00EB49AC" w:rsidRPr="00956B75" w:rsidRDefault="00EB49AC" w:rsidP="00EB49AC">
            <w:pPr>
              <w:spacing w:line="252" w:lineRule="auto"/>
              <w:ind w:right="100"/>
              <w:rPr>
                <w:rFonts w:cstheme="minorHAnsi"/>
              </w:rPr>
            </w:pPr>
            <w:r w:rsidRPr="00956B75">
              <w:rPr>
                <w:rFonts w:cstheme="minorHAnsi"/>
              </w:rPr>
              <w:t>2</w:t>
            </w:r>
            <w:r w:rsidR="00956B75">
              <w:rPr>
                <w:rFonts w:cstheme="minorHAnsi"/>
              </w:rPr>
              <w:t>,</w:t>
            </w:r>
            <w:r w:rsidRPr="00956B75">
              <w:rPr>
                <w:rFonts w:cstheme="minorHAnsi"/>
              </w:rPr>
              <w:t>075</w:t>
            </w:r>
          </w:p>
        </w:tc>
        <w:tc>
          <w:tcPr>
            <w:tcW w:w="929" w:type="dxa"/>
            <w:tcBorders>
              <w:top w:val="nil"/>
              <w:left w:val="nil"/>
              <w:bottom w:val="nil"/>
              <w:right w:val="nil"/>
            </w:tcBorders>
            <w:shd w:val="clear" w:color="auto" w:fill="auto"/>
            <w:tcMar>
              <w:top w:w="0" w:type="dxa"/>
              <w:left w:w="108" w:type="dxa"/>
              <w:bottom w:w="0" w:type="dxa"/>
              <w:right w:w="108" w:type="dxa"/>
            </w:tcMar>
            <w:vAlign w:val="bottom"/>
          </w:tcPr>
          <w:p w14:paraId="6BC84265" w14:textId="560D36A4" w:rsidR="00EB49AC" w:rsidRPr="00956B75" w:rsidRDefault="00EB49AC" w:rsidP="00EB49AC">
            <w:pPr>
              <w:spacing w:line="252" w:lineRule="auto"/>
              <w:ind w:right="100"/>
              <w:rPr>
                <w:rFonts w:cstheme="minorHAnsi"/>
              </w:rPr>
            </w:pPr>
            <w:r w:rsidRPr="00956B75">
              <w:rPr>
                <w:rFonts w:cstheme="minorHAnsi"/>
              </w:rPr>
              <w:t>1</w:t>
            </w:r>
            <w:r w:rsidR="00956B75">
              <w:rPr>
                <w:rFonts w:cstheme="minorHAnsi"/>
              </w:rPr>
              <w:t>,</w:t>
            </w:r>
            <w:r w:rsidRPr="00956B75">
              <w:rPr>
                <w:rFonts w:cstheme="minorHAnsi"/>
              </w:rPr>
              <w:t>920</w:t>
            </w:r>
          </w:p>
        </w:tc>
        <w:tc>
          <w:tcPr>
            <w:tcW w:w="1064" w:type="dxa"/>
            <w:tcBorders>
              <w:top w:val="nil"/>
              <w:left w:val="nil"/>
              <w:bottom w:val="nil"/>
              <w:right w:val="nil"/>
            </w:tcBorders>
            <w:shd w:val="clear" w:color="auto" w:fill="auto"/>
            <w:vAlign w:val="center"/>
          </w:tcPr>
          <w:p w14:paraId="7CA81D31" w14:textId="3D27344F" w:rsidR="00EB49AC" w:rsidRPr="00956B75" w:rsidRDefault="00956B75" w:rsidP="00EB49AC">
            <w:pPr>
              <w:spacing w:line="252" w:lineRule="auto"/>
              <w:ind w:left="95" w:right="180"/>
              <w:jc w:val="right"/>
              <w:rPr>
                <w:rFonts w:cstheme="minorHAnsi"/>
              </w:rPr>
            </w:pPr>
            <w:r>
              <w:rPr>
                <w:rFonts w:cstheme="minorHAnsi"/>
              </w:rPr>
              <w:t>-7.5</w:t>
            </w:r>
            <w:r w:rsidR="00EB49AC" w:rsidRPr="00956B75">
              <w:rPr>
                <w:rFonts w:cstheme="minorHAnsi"/>
              </w:rPr>
              <w:t>%</w:t>
            </w:r>
          </w:p>
        </w:tc>
      </w:tr>
      <w:tr w:rsidR="004616F1" w:rsidRPr="00DC55EC" w14:paraId="2CA09C66" w14:textId="77777777" w:rsidTr="00407D21">
        <w:trPr>
          <w:trHeight w:val="288"/>
        </w:trPr>
        <w:tc>
          <w:tcPr>
            <w:tcW w:w="1668"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45029A0F" w14:textId="5A1C6DB0" w:rsidR="004616F1" w:rsidRPr="00DC55EC" w:rsidRDefault="0043444E" w:rsidP="001A5F8A">
            <w:pPr>
              <w:spacing w:line="252" w:lineRule="auto"/>
              <w:ind w:left="62" w:right="100"/>
              <w:rPr>
                <w:rFonts w:cstheme="minorHAnsi"/>
              </w:rPr>
            </w:pPr>
            <w:r w:rsidRPr="00DC55EC">
              <w:rPr>
                <w:rFonts w:cstheme="minorHAnsi"/>
              </w:rPr>
              <w:t xml:space="preserve">SE WI </w:t>
            </w:r>
            <w:r w:rsidR="004616F1" w:rsidRPr="00DC55EC">
              <w:rPr>
                <w:rFonts w:cstheme="minorHAnsi"/>
              </w:rPr>
              <w:t>Area</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0FDD1A34" w14:textId="6BB47F26" w:rsidR="004616F1" w:rsidRPr="00956B75" w:rsidRDefault="00956B75" w:rsidP="001A5F8A">
            <w:pPr>
              <w:spacing w:line="252" w:lineRule="auto"/>
              <w:ind w:right="100"/>
              <w:rPr>
                <w:rFonts w:cstheme="minorHAnsi"/>
              </w:rPr>
            </w:pPr>
            <w:r>
              <w:rPr>
                <w:rFonts w:cstheme="minorHAnsi"/>
              </w:rPr>
              <w:t>29,477</w:t>
            </w:r>
          </w:p>
        </w:tc>
        <w:tc>
          <w:tcPr>
            <w:tcW w:w="929" w:type="dxa"/>
            <w:tcBorders>
              <w:top w:val="single" w:sz="4" w:space="0" w:color="auto"/>
              <w:left w:val="nil"/>
              <w:bottom w:val="nil"/>
              <w:right w:val="nil"/>
            </w:tcBorders>
            <w:shd w:val="clear" w:color="auto" w:fill="DEEAF6" w:themeFill="accent1" w:themeFillTint="33"/>
            <w:tcMar>
              <w:top w:w="0" w:type="dxa"/>
              <w:left w:w="108" w:type="dxa"/>
              <w:bottom w:w="0" w:type="dxa"/>
              <w:right w:w="108" w:type="dxa"/>
            </w:tcMar>
            <w:vAlign w:val="center"/>
          </w:tcPr>
          <w:p w14:paraId="3042EDD2" w14:textId="6FD9AF92" w:rsidR="004616F1" w:rsidRPr="00956B75" w:rsidRDefault="00956B75" w:rsidP="001A5F8A">
            <w:pPr>
              <w:spacing w:line="252" w:lineRule="auto"/>
              <w:ind w:right="100"/>
              <w:rPr>
                <w:rFonts w:cstheme="minorHAnsi"/>
              </w:rPr>
            </w:pPr>
            <w:r>
              <w:rPr>
                <w:rFonts w:cstheme="minorHAnsi"/>
              </w:rPr>
              <w:t>27,991</w:t>
            </w:r>
          </w:p>
        </w:tc>
        <w:tc>
          <w:tcPr>
            <w:tcW w:w="1064" w:type="dxa"/>
            <w:tcBorders>
              <w:top w:val="nil"/>
              <w:left w:val="nil"/>
              <w:bottom w:val="nil"/>
              <w:right w:val="nil"/>
            </w:tcBorders>
            <w:shd w:val="clear" w:color="auto" w:fill="DEEAF6" w:themeFill="accent1" w:themeFillTint="33"/>
            <w:vAlign w:val="center"/>
          </w:tcPr>
          <w:p w14:paraId="12AA5C38" w14:textId="3A587969" w:rsidR="004616F1" w:rsidRPr="00956B75" w:rsidRDefault="00956B75" w:rsidP="00DC55EC">
            <w:pPr>
              <w:spacing w:line="252" w:lineRule="auto"/>
              <w:ind w:left="95" w:right="180"/>
              <w:jc w:val="right"/>
              <w:rPr>
                <w:rFonts w:cstheme="minorHAnsi"/>
              </w:rPr>
            </w:pPr>
            <w:r>
              <w:rPr>
                <w:rFonts w:cstheme="minorHAnsi"/>
              </w:rPr>
              <w:t>-5.0</w:t>
            </w:r>
            <w:r w:rsidR="004616F1" w:rsidRPr="00956B75">
              <w:rPr>
                <w:rFonts w:cstheme="minorHAnsi"/>
              </w:rPr>
              <w:t>%</w:t>
            </w:r>
          </w:p>
        </w:tc>
      </w:tr>
    </w:tbl>
    <w:p w14:paraId="0612BD89" w14:textId="77777777" w:rsidR="00270753" w:rsidRDefault="00270753" w:rsidP="001A5F8A">
      <w:pPr>
        <w:spacing w:before="120" w:after="120"/>
        <w:ind w:right="-360"/>
        <w:contextualSpacing/>
        <w:rPr>
          <w:bCs/>
        </w:rPr>
      </w:pPr>
    </w:p>
    <w:p w14:paraId="4C92E1A1" w14:textId="79D1F0E0" w:rsidR="000F21F9" w:rsidRPr="0031621B" w:rsidRDefault="00FE64F6" w:rsidP="001A5F8A">
      <w:pPr>
        <w:spacing w:before="120" w:after="120"/>
        <w:ind w:right="-360"/>
        <w:contextualSpacing/>
        <w:rPr>
          <w:b/>
          <w:u w:val="single"/>
        </w:rPr>
      </w:pPr>
      <w:r w:rsidRPr="0031621B">
        <w:rPr>
          <w:b/>
        </w:rPr>
        <w:t>L</w:t>
      </w:r>
      <w:r w:rsidR="00156337" w:rsidRPr="0031621B">
        <w:rPr>
          <w:b/>
        </w:rPr>
        <w:t>istings</w:t>
      </w:r>
    </w:p>
    <w:p w14:paraId="6B90745C" w14:textId="3256DF86" w:rsidR="006D6799" w:rsidRDefault="005460CE" w:rsidP="006D6799">
      <w:pPr>
        <w:spacing w:before="120" w:after="120"/>
        <w:ind w:left="-360" w:right="-360"/>
        <w:contextualSpacing/>
      </w:pPr>
      <w:r w:rsidRPr="0031621B">
        <w:t xml:space="preserve">Listings were </w:t>
      </w:r>
      <w:r w:rsidR="00DF411E">
        <w:t xml:space="preserve">up in most of </w:t>
      </w:r>
      <w:r w:rsidR="0060287B">
        <w:t>the region in September</w:t>
      </w:r>
      <w:r w:rsidR="006D6799">
        <w:t xml:space="preserve"> –</w:t>
      </w:r>
      <w:r w:rsidR="0060287B">
        <w:t xml:space="preserve"> </w:t>
      </w:r>
      <w:r w:rsidR="006D6799">
        <w:t>a promising development</w:t>
      </w:r>
      <w:r w:rsidR="00742C85" w:rsidRPr="0031621B">
        <w:t>.</w:t>
      </w:r>
      <w:r w:rsidR="006D6799">
        <w:t xml:space="preserve"> However, listings t</w:t>
      </w:r>
      <w:r w:rsidR="001A5F8A">
        <w:t>h</w:t>
      </w:r>
      <w:r w:rsidR="006D6799">
        <w:t>rough th</w:t>
      </w:r>
      <w:r w:rsidR="001A5F8A">
        <w:t xml:space="preserve">e </w:t>
      </w:r>
      <w:r w:rsidR="00FB5F93">
        <w:t>3rd</w:t>
      </w:r>
      <w:r w:rsidR="001A5F8A">
        <w:t xml:space="preserve"> quarter</w:t>
      </w:r>
      <w:r w:rsidR="00D71B10">
        <w:t xml:space="preserve"> </w:t>
      </w:r>
      <w:r w:rsidR="006D6799">
        <w:t xml:space="preserve">tell a more accurate story of how much supply is coming online. </w:t>
      </w:r>
    </w:p>
    <w:p w14:paraId="0EABDF97" w14:textId="7CA0689C" w:rsidR="006D6799" w:rsidRDefault="006D6799" w:rsidP="001A5F8A">
      <w:pPr>
        <w:spacing w:before="120" w:after="120"/>
        <w:ind w:right="-360"/>
        <w:contextualSpacing/>
      </w:pPr>
    </w:p>
    <w:p w14:paraId="30DA18C4" w14:textId="653A181E" w:rsidR="006D6799" w:rsidRDefault="006D6799" w:rsidP="001A5F8A">
      <w:pPr>
        <w:spacing w:before="120" w:after="120"/>
        <w:ind w:right="-360"/>
        <w:contextualSpacing/>
      </w:pPr>
      <w:r>
        <w:t>Through the 3</w:t>
      </w:r>
      <w:r w:rsidRPr="006D6799">
        <w:rPr>
          <w:vertAlign w:val="superscript"/>
        </w:rPr>
        <w:t>rd</w:t>
      </w:r>
      <w:r>
        <w:t xml:space="preserve"> quarter, listings were down in all 7 SE Wisconsin counties, continuing a troubling trend. </w:t>
      </w:r>
    </w:p>
    <w:p w14:paraId="6320CE8A" w14:textId="77777777" w:rsidR="006D6799" w:rsidRDefault="006D6799" w:rsidP="001A5F8A">
      <w:pPr>
        <w:spacing w:before="120" w:after="120"/>
        <w:ind w:right="-360"/>
        <w:contextualSpacing/>
      </w:pPr>
    </w:p>
    <w:p w14:paraId="1AF5FE6F" w14:textId="7B198B29" w:rsidR="0091767C" w:rsidRDefault="0089320B" w:rsidP="00DD2BDC">
      <w:pPr>
        <w:spacing w:before="120" w:after="120"/>
        <w:ind w:left="-360" w:right="-360"/>
        <w:contextualSpacing/>
      </w:pPr>
      <w:r w:rsidRPr="0031621B">
        <w:t>Since the</w:t>
      </w:r>
      <w:r w:rsidR="00657D2E" w:rsidRPr="0031621B">
        <w:t xml:space="preserve"> beginning of 201</w:t>
      </w:r>
      <w:r w:rsidR="00A92D0C">
        <w:t>6</w:t>
      </w:r>
      <w:r w:rsidR="00657D2E" w:rsidRPr="0031621B">
        <w:t xml:space="preserve">, a span of </w:t>
      </w:r>
      <w:r w:rsidR="00B40DFC">
        <w:t>5</w:t>
      </w:r>
      <w:r w:rsidR="006D6799">
        <w:t>7</w:t>
      </w:r>
      <w:r w:rsidRPr="0031621B">
        <w:t xml:space="preserve"> months, </w:t>
      </w:r>
      <w:r w:rsidR="00A92D0C">
        <w:t xml:space="preserve">only </w:t>
      </w:r>
      <w:r w:rsidR="00B40DFC">
        <w:t>2</w:t>
      </w:r>
      <w:r w:rsidR="006D6799">
        <w:t>2</w:t>
      </w:r>
      <w:r w:rsidRPr="0031621B">
        <w:t xml:space="preserve"> months</w:t>
      </w:r>
      <w:r w:rsidR="0091767C">
        <w:t xml:space="preserve"> – </w:t>
      </w:r>
      <w:r w:rsidR="00B40DFC">
        <w:t>3</w:t>
      </w:r>
      <w:r w:rsidR="006D6799">
        <w:t>6</w:t>
      </w:r>
      <w:r w:rsidR="00E72019" w:rsidRPr="0031621B">
        <w:t>%</w:t>
      </w:r>
      <w:r w:rsidR="0091767C">
        <w:t xml:space="preserve"> of the time – </w:t>
      </w:r>
      <w:r w:rsidR="00E72019" w:rsidRPr="0031621B">
        <w:t>had a</w:t>
      </w:r>
      <w:r w:rsidR="00A92D0C">
        <w:t>n in</w:t>
      </w:r>
      <w:r w:rsidRPr="0031621B">
        <w:t>crease in homes listed for sale.</w:t>
      </w:r>
      <w:r w:rsidR="00DD2BDC">
        <w:t xml:space="preserve"> </w:t>
      </w:r>
    </w:p>
    <w:p w14:paraId="1BFE97E9" w14:textId="77777777" w:rsidR="0091767C" w:rsidRDefault="0091767C" w:rsidP="00DD2BDC">
      <w:pPr>
        <w:spacing w:before="120" w:after="120"/>
        <w:ind w:left="-360" w:right="-360"/>
        <w:contextualSpacing/>
      </w:pPr>
    </w:p>
    <w:p w14:paraId="319B5EA1" w14:textId="5B4F3FD3" w:rsidR="0031621B" w:rsidRDefault="0089320B" w:rsidP="00DD2BDC">
      <w:pPr>
        <w:spacing w:before="120" w:after="120"/>
        <w:ind w:left="-360" w:right="-360"/>
        <w:contextualSpacing/>
      </w:pPr>
      <w:r w:rsidRPr="0031621B">
        <w:t xml:space="preserve">While listings shrunk </w:t>
      </w:r>
      <w:r w:rsidR="00A92D0C">
        <w:t xml:space="preserve">during that </w:t>
      </w:r>
      <w:r w:rsidRPr="0031621B">
        <w:t>time, sales increased.  Sales were u</w:t>
      </w:r>
      <w:r w:rsidR="0023346D" w:rsidRPr="0031621B">
        <w:t>p</w:t>
      </w:r>
      <w:r w:rsidRPr="0031621B">
        <w:t xml:space="preserve"> in </w:t>
      </w:r>
      <w:r w:rsidR="006D6799">
        <w:t>37</w:t>
      </w:r>
      <w:r w:rsidRPr="0031621B">
        <w:t xml:space="preserve"> of the </w:t>
      </w:r>
      <w:r w:rsidR="006D6799">
        <w:t xml:space="preserve">same </w:t>
      </w:r>
      <w:r w:rsidR="00B40DFC">
        <w:t>5</w:t>
      </w:r>
      <w:r w:rsidR="006D6799">
        <w:t>7</w:t>
      </w:r>
      <w:r w:rsidRPr="0031621B">
        <w:t xml:space="preserve"> months, or </w:t>
      </w:r>
      <w:r w:rsidR="00A92D0C">
        <w:t>6</w:t>
      </w:r>
      <w:r w:rsidR="006D6799">
        <w:t>5</w:t>
      </w:r>
      <w:r w:rsidR="00A92D0C">
        <w:t>%</w:t>
      </w:r>
      <w:r w:rsidR="0023346D" w:rsidRPr="0031621B">
        <w:t xml:space="preserve"> of the time.</w:t>
      </w:r>
      <w:r w:rsidR="00E72019" w:rsidRPr="0031621B">
        <w:t xml:space="preserve"> </w:t>
      </w:r>
    </w:p>
    <w:p w14:paraId="7C84929C" w14:textId="04F970F3" w:rsidR="00DD2BDC" w:rsidRDefault="00DD2BDC" w:rsidP="00DD2BDC">
      <w:pPr>
        <w:spacing w:before="120" w:after="120"/>
        <w:ind w:left="-360" w:right="-360"/>
        <w:contextualSpacing/>
      </w:pPr>
    </w:p>
    <w:p w14:paraId="7B576A64" w14:textId="77777777" w:rsidR="0091767C" w:rsidRDefault="00DD2BDC" w:rsidP="00DD2BDC">
      <w:pPr>
        <w:spacing w:before="120" w:after="120"/>
        <w:ind w:left="-360" w:right="-360"/>
        <w:contextualSpacing/>
      </w:pPr>
      <w:r>
        <w:t xml:space="preserve">That dynamic explains why prices have been increasing, and why </w:t>
      </w:r>
      <w:r w:rsidR="0044014E">
        <w:t xml:space="preserve">buyers have had a hard time finding properties to choose from. </w:t>
      </w:r>
    </w:p>
    <w:p w14:paraId="0EE92393" w14:textId="77777777" w:rsidR="0091767C" w:rsidRDefault="0091767C" w:rsidP="00DD2BDC">
      <w:pPr>
        <w:spacing w:before="120" w:after="120"/>
        <w:ind w:left="-360" w:right="-360"/>
        <w:contextualSpacing/>
      </w:pPr>
    </w:p>
    <w:p w14:paraId="2BD24C70" w14:textId="77777777" w:rsidR="00A25A48" w:rsidRDefault="00A25A48" w:rsidP="00DD2BDC">
      <w:pPr>
        <w:spacing w:before="120" w:after="120"/>
        <w:ind w:left="-360" w:right="-360"/>
        <w:contextualSpacing/>
      </w:pPr>
    </w:p>
    <w:p w14:paraId="706EBA92" w14:textId="479EA2A4" w:rsidR="00DD2BDC" w:rsidRDefault="0043444E" w:rsidP="00DD2BDC">
      <w:pPr>
        <w:spacing w:before="120" w:after="120"/>
        <w:ind w:left="-360" w:right="-360"/>
        <w:contextualSpacing/>
      </w:pPr>
      <w:r>
        <w:t xml:space="preserve"> </w:t>
      </w:r>
    </w:p>
    <w:p w14:paraId="769F5C1A" w14:textId="77777777" w:rsidR="00A92D0C" w:rsidRPr="00A92D0C" w:rsidRDefault="00A92D0C" w:rsidP="008C1EA3">
      <w:pPr>
        <w:spacing w:before="120" w:after="120"/>
        <w:ind w:right="-360"/>
        <w:contextualSpacing/>
      </w:pPr>
    </w:p>
    <w:p w14:paraId="35EFCA6D" w14:textId="77777777" w:rsidR="0091767C" w:rsidRPr="0031621B" w:rsidRDefault="0091767C" w:rsidP="001F5CBD">
      <w:pPr>
        <w:spacing w:before="120" w:after="120"/>
        <w:ind w:left="-360" w:right="-360"/>
        <w:contextualSpacing/>
      </w:pPr>
    </w:p>
    <w:p w14:paraId="3BEB71B1" w14:textId="77777777" w:rsidR="00127EF0" w:rsidRPr="0031621B" w:rsidRDefault="00127EF0" w:rsidP="001F5CBD">
      <w:pPr>
        <w:spacing w:before="120" w:after="120"/>
        <w:ind w:left="-360" w:right="-360"/>
        <w:contextualSpacing/>
        <w:jc w:val="both"/>
        <w:rPr>
          <w:b/>
          <w:bCs/>
          <w:u w:val="single"/>
        </w:rPr>
      </w:pPr>
      <w:r w:rsidRPr="0031621B">
        <w:rPr>
          <w:b/>
          <w:bCs/>
          <w:u w:val="single"/>
        </w:rPr>
        <w:lastRenderedPageBreak/>
        <w:t>Where to go</w:t>
      </w:r>
    </w:p>
    <w:p w14:paraId="52756C8A" w14:textId="77777777" w:rsidR="00127EF0" w:rsidRPr="0031621B" w:rsidRDefault="00127EF0" w:rsidP="001F5CBD">
      <w:pPr>
        <w:spacing w:before="120" w:after="120"/>
        <w:ind w:left="-360" w:right="-360"/>
        <w:contextualSpacing/>
      </w:pPr>
      <w:r w:rsidRPr="0031621B">
        <w:t>Buyers should seek the counsel of a REALTOR® in determining their best housing options, and sellers need a REALTORS® expert advice in making correct marketing decisions with their home</w:t>
      </w:r>
      <w:r w:rsidR="001B4CFE" w:rsidRPr="0031621B">
        <w:t>s</w:t>
      </w:r>
      <w:r w:rsidRPr="0031621B">
        <w:t>.</w:t>
      </w:r>
    </w:p>
    <w:p w14:paraId="7DD1D0C8" w14:textId="77777777" w:rsidR="00127EF0" w:rsidRPr="0031621B" w:rsidRDefault="00127EF0" w:rsidP="001F5CBD">
      <w:pPr>
        <w:spacing w:before="120" w:after="120"/>
        <w:ind w:left="-360" w:right="-360"/>
        <w:contextualSpacing/>
      </w:pPr>
    </w:p>
    <w:p w14:paraId="75438303" w14:textId="2128886F" w:rsidR="00127EF0" w:rsidRPr="0031621B" w:rsidRDefault="00127EF0" w:rsidP="001F5CBD">
      <w:pPr>
        <w:spacing w:before="120" w:after="120"/>
        <w:ind w:left="-360" w:right="-360"/>
        <w:contextualSpacing/>
      </w:pPr>
      <w:r w:rsidRPr="0031621B">
        <w:t>The Greater Milwaukee Association of REALTORS</w:t>
      </w:r>
      <w:r w:rsidRPr="0031621B">
        <w:rPr>
          <w:vertAlign w:val="superscript"/>
        </w:rPr>
        <w:t>®</w:t>
      </w:r>
      <w:r w:rsidRPr="0031621B">
        <w:t xml:space="preserve"> is a </w:t>
      </w:r>
      <w:r w:rsidR="00075CB8">
        <w:t>5</w:t>
      </w:r>
      <w:r w:rsidRPr="0031621B">
        <w:t xml:space="preserve">,000-member strong professional organization dedicated to providing information, </w:t>
      </w:r>
      <w:r w:rsidR="00407D21" w:rsidRPr="0031621B">
        <w:t>services,</w:t>
      </w:r>
      <w:r w:rsidRPr="0031621B">
        <w:t xml:space="preserve"> and products to help REALTORS</w:t>
      </w:r>
      <w:r w:rsidRPr="0031621B">
        <w:rPr>
          <w:vertAlign w:val="superscript"/>
        </w:rPr>
        <w:t>®</w:t>
      </w:r>
      <w:r w:rsidRPr="0031621B">
        <w:t xml:space="preserve"> help their clients buy and sell real estate.  Data for this report was collected by Metro MLS, Inc. a wholly</w:t>
      </w:r>
      <w:r w:rsidR="0043444E">
        <w:t xml:space="preserve"> </w:t>
      </w:r>
      <w:r w:rsidRPr="0031621B">
        <w:t>owned subsidiary of the GMAR.</w:t>
      </w:r>
    </w:p>
    <w:p w14:paraId="3A05FBC2" w14:textId="77777777" w:rsidR="00127EF0" w:rsidRDefault="00127EF0" w:rsidP="001F5CBD">
      <w:pPr>
        <w:spacing w:before="120" w:after="120"/>
        <w:ind w:left="-360" w:right="-360"/>
        <w:contextualSpacing/>
      </w:pPr>
    </w:p>
    <w:p w14:paraId="12980A16" w14:textId="77777777" w:rsidR="00AE6343" w:rsidRPr="0031621B" w:rsidRDefault="00AE6343" w:rsidP="001F5CBD">
      <w:pPr>
        <w:spacing w:before="120" w:after="120"/>
        <w:ind w:left="-360" w:right="-360"/>
        <w:contextualSpacing/>
      </w:pPr>
    </w:p>
    <w:p w14:paraId="6DC7A1D7" w14:textId="6BF34D86" w:rsidR="00127EF0" w:rsidRDefault="00127EF0" w:rsidP="001F5CBD">
      <w:pPr>
        <w:spacing w:before="120" w:after="120"/>
        <w:ind w:left="-360" w:right="-360"/>
        <w:contextualSpacing/>
        <w:jc w:val="both"/>
        <w:rPr>
          <w:sz w:val="20"/>
          <w:szCs w:val="20"/>
        </w:rPr>
      </w:pPr>
      <w:r>
        <w:rPr>
          <w:sz w:val="20"/>
          <w:szCs w:val="20"/>
        </w:rPr>
        <w:t>* Sales and Listing figures differ b</w:t>
      </w:r>
      <w:r w:rsidR="00DC6504">
        <w:rPr>
          <w:sz w:val="20"/>
          <w:szCs w:val="20"/>
        </w:rPr>
        <w:t>etween the “Monthly Stats” and quarter</w:t>
      </w:r>
      <w:r>
        <w:rPr>
          <w:sz w:val="20"/>
          <w:szCs w:val="20"/>
        </w:rPr>
        <w:t xml:space="preserve"> (or year-end) </w:t>
      </w:r>
      <w:r w:rsidR="00DC6504">
        <w:rPr>
          <w:sz w:val="20"/>
          <w:szCs w:val="20"/>
        </w:rPr>
        <w:t xml:space="preserve">numbers, </w:t>
      </w:r>
      <w:r>
        <w:rPr>
          <w:sz w:val="20"/>
          <w:szCs w:val="20"/>
        </w:rPr>
        <w:t>because the collection of Monthly Stats ends on the 10</w:t>
      </w:r>
      <w:r>
        <w:rPr>
          <w:sz w:val="20"/>
          <w:szCs w:val="20"/>
          <w:vertAlign w:val="superscript"/>
        </w:rPr>
        <w:t>th</w:t>
      </w:r>
      <w:r>
        <w:rPr>
          <w:sz w:val="20"/>
          <w:szCs w:val="20"/>
        </w:rPr>
        <w:t xml:space="preserve"> of each month</w:t>
      </w:r>
      <w:r w:rsidR="0043444E">
        <w:rPr>
          <w:sz w:val="20"/>
          <w:szCs w:val="20"/>
        </w:rPr>
        <w:t>,</w:t>
      </w:r>
      <w:r>
        <w:rPr>
          <w:sz w:val="20"/>
          <w:szCs w:val="20"/>
        </w:rPr>
        <w:t xml:space="preserve"> whereas </w:t>
      </w:r>
      <w:r w:rsidR="00DC6504">
        <w:rPr>
          <w:sz w:val="20"/>
          <w:szCs w:val="20"/>
        </w:rPr>
        <w:t>quarters are</w:t>
      </w:r>
      <w:r>
        <w:rPr>
          <w:sz w:val="20"/>
          <w:szCs w:val="20"/>
        </w:rPr>
        <w:t xml:space="preserve"> a continuous tally to 12/31.  For example, if a sale occurred on July 29</w:t>
      </w:r>
      <w:r>
        <w:rPr>
          <w:sz w:val="20"/>
          <w:szCs w:val="20"/>
          <w:vertAlign w:val="superscript"/>
        </w:rPr>
        <w:t>th</w:t>
      </w:r>
      <w:r>
        <w:rPr>
          <w:sz w:val="20"/>
          <w:szCs w:val="20"/>
        </w:rPr>
        <w:t xml:space="preserve">, but </w:t>
      </w:r>
      <w:r w:rsidR="00DC6504">
        <w:rPr>
          <w:sz w:val="20"/>
          <w:szCs w:val="20"/>
        </w:rPr>
        <w:t xml:space="preserve">an </w:t>
      </w:r>
      <w:r>
        <w:rPr>
          <w:sz w:val="20"/>
          <w:szCs w:val="20"/>
        </w:rPr>
        <w:t>agent does not record the sale until August 11</w:t>
      </w:r>
      <w:r>
        <w:rPr>
          <w:sz w:val="20"/>
          <w:szCs w:val="20"/>
          <w:vertAlign w:val="superscript"/>
        </w:rPr>
        <w:t>th</w:t>
      </w:r>
      <w:r>
        <w:rPr>
          <w:sz w:val="20"/>
          <w:szCs w:val="20"/>
        </w:rPr>
        <w:t xml:space="preserve">, that sale would not be included in the July sales figures (or any subsequent month’s total) but would be added to the </w:t>
      </w:r>
      <w:r w:rsidR="00DC6504">
        <w:rPr>
          <w:sz w:val="20"/>
          <w:szCs w:val="20"/>
        </w:rPr>
        <w:t xml:space="preserve">quarterly and </w:t>
      </w:r>
      <w:r>
        <w:rPr>
          <w:sz w:val="20"/>
          <w:szCs w:val="20"/>
        </w:rPr>
        <w:t>annual total sales figure</w:t>
      </w:r>
      <w:r w:rsidR="00DC6504">
        <w:rPr>
          <w:sz w:val="20"/>
          <w:szCs w:val="20"/>
        </w:rPr>
        <w:t>s</w:t>
      </w:r>
      <w:r>
        <w:rPr>
          <w:sz w:val="20"/>
          <w:szCs w:val="20"/>
        </w:rPr>
        <w:t>.</w:t>
      </w:r>
    </w:p>
    <w:p w14:paraId="7DEFE1D9" w14:textId="76B84D3C" w:rsidR="00075CB8" w:rsidRDefault="00075CB8" w:rsidP="001F5CBD">
      <w:pPr>
        <w:spacing w:before="120" w:after="120"/>
        <w:ind w:left="-360" w:right="-360"/>
        <w:contextualSpacing/>
        <w:jc w:val="both"/>
        <w:rPr>
          <w:sz w:val="20"/>
          <w:szCs w:val="20"/>
        </w:rPr>
      </w:pPr>
    </w:p>
    <w:p w14:paraId="1777E1B9" w14:textId="4ED1FBA4" w:rsidR="00075CB8" w:rsidRDefault="00075CB8" w:rsidP="001F5CBD">
      <w:pPr>
        <w:spacing w:before="120" w:after="120"/>
        <w:ind w:left="-360" w:right="-360"/>
        <w:contextualSpacing/>
        <w:jc w:val="both"/>
        <w:rPr>
          <w:sz w:val="20"/>
          <w:szCs w:val="20"/>
        </w:rPr>
      </w:pPr>
      <w:r>
        <w:rPr>
          <w:sz w:val="20"/>
          <w:szCs w:val="20"/>
        </w:rPr>
        <w:t>** All references to the “metropolitan” area denotes the 4 counties of Milwaukee, Waukesha, Ozaukee and Washington Counties. The “region” or “Southeast Wisconsin” refers to the 4 metropolitan counties (Milwaukee, Waukesha, Ozaukee and Washington), plus the 3 counties to the south, Racine, Kenosha and Walworth Counties.</w:t>
      </w:r>
    </w:p>
    <w:p w14:paraId="1E98A99F" w14:textId="77777777" w:rsidR="00127EF0" w:rsidRDefault="00127EF0" w:rsidP="001F5CBD">
      <w:pPr>
        <w:spacing w:before="120" w:after="120"/>
        <w:ind w:left="-360" w:right="-360"/>
        <w:contextualSpacing/>
        <w:rPr>
          <w:sz w:val="24"/>
          <w:szCs w:val="24"/>
        </w:rPr>
      </w:pPr>
    </w:p>
    <w:p w14:paraId="15A764DF" w14:textId="61770453" w:rsidR="00323325" w:rsidRDefault="00127EF0" w:rsidP="00886BD5">
      <w:pPr>
        <w:spacing w:before="120" w:after="120"/>
        <w:ind w:left="-360" w:right="-360"/>
        <w:contextualSpacing/>
        <w:jc w:val="center"/>
        <w:rPr>
          <w:sz w:val="24"/>
          <w:szCs w:val="24"/>
        </w:rPr>
      </w:pPr>
      <w:r>
        <w:rPr>
          <w:b/>
          <w:bCs/>
          <w:sz w:val="24"/>
          <w:szCs w:val="24"/>
        </w:rPr>
        <w:t>*     *     *     *     *</w:t>
      </w:r>
      <w:bookmarkEnd w:id="0"/>
    </w:p>
    <w:p w14:paraId="2DEDBEE4" w14:textId="77777777" w:rsidR="00886BD5" w:rsidRPr="00886BD5" w:rsidRDefault="00886BD5" w:rsidP="00886BD5">
      <w:pPr>
        <w:spacing w:before="120" w:after="120"/>
        <w:ind w:left="-360" w:right="-360"/>
        <w:contextualSpacing/>
        <w:jc w:val="center"/>
        <w:rPr>
          <w:sz w:val="24"/>
          <w:szCs w:val="24"/>
        </w:rPr>
      </w:pPr>
    </w:p>
    <w:sectPr w:rsidR="00886BD5" w:rsidRPr="00886BD5" w:rsidSect="004616F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310FD"/>
    <w:multiLevelType w:val="hybridMultilevel"/>
    <w:tmpl w:val="EB5EFE2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769F0E41"/>
    <w:multiLevelType w:val="hybridMultilevel"/>
    <w:tmpl w:val="EBC215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F83"/>
    <w:rsid w:val="0000535B"/>
    <w:rsid w:val="00010A1A"/>
    <w:rsid w:val="000231FD"/>
    <w:rsid w:val="00027002"/>
    <w:rsid w:val="00027936"/>
    <w:rsid w:val="000418A7"/>
    <w:rsid w:val="00050EC7"/>
    <w:rsid w:val="00057F91"/>
    <w:rsid w:val="000643AB"/>
    <w:rsid w:val="00075CB8"/>
    <w:rsid w:val="00080E07"/>
    <w:rsid w:val="0008180B"/>
    <w:rsid w:val="00081B02"/>
    <w:rsid w:val="00085C75"/>
    <w:rsid w:val="000871EE"/>
    <w:rsid w:val="00087232"/>
    <w:rsid w:val="000A3217"/>
    <w:rsid w:val="000C5D86"/>
    <w:rsid w:val="000F21F9"/>
    <w:rsid w:val="001111CB"/>
    <w:rsid w:val="00124A77"/>
    <w:rsid w:val="00127EF0"/>
    <w:rsid w:val="001312C0"/>
    <w:rsid w:val="00156337"/>
    <w:rsid w:val="00157115"/>
    <w:rsid w:val="00162A57"/>
    <w:rsid w:val="001710C0"/>
    <w:rsid w:val="00172E7E"/>
    <w:rsid w:val="00183378"/>
    <w:rsid w:val="001865ED"/>
    <w:rsid w:val="001A060A"/>
    <w:rsid w:val="001A5F8A"/>
    <w:rsid w:val="001B4CFE"/>
    <w:rsid w:val="001B610A"/>
    <w:rsid w:val="001C2406"/>
    <w:rsid w:val="001C2B1D"/>
    <w:rsid w:val="001C62A3"/>
    <w:rsid w:val="001D7B23"/>
    <w:rsid w:val="001F0911"/>
    <w:rsid w:val="001F245E"/>
    <w:rsid w:val="001F5CBD"/>
    <w:rsid w:val="00205183"/>
    <w:rsid w:val="00211BC4"/>
    <w:rsid w:val="002156E5"/>
    <w:rsid w:val="002228CD"/>
    <w:rsid w:val="0023346D"/>
    <w:rsid w:val="002369FD"/>
    <w:rsid w:val="00261855"/>
    <w:rsid w:val="00270176"/>
    <w:rsid w:val="00270753"/>
    <w:rsid w:val="002A78ED"/>
    <w:rsid w:val="002C12CA"/>
    <w:rsid w:val="002E391A"/>
    <w:rsid w:val="002F59D0"/>
    <w:rsid w:val="003014F6"/>
    <w:rsid w:val="003105DB"/>
    <w:rsid w:val="00314345"/>
    <w:rsid w:val="0031621B"/>
    <w:rsid w:val="003176C9"/>
    <w:rsid w:val="00323325"/>
    <w:rsid w:val="00326B56"/>
    <w:rsid w:val="0033059A"/>
    <w:rsid w:val="00354473"/>
    <w:rsid w:val="003639E9"/>
    <w:rsid w:val="003724B8"/>
    <w:rsid w:val="00377E9E"/>
    <w:rsid w:val="003B1886"/>
    <w:rsid w:val="003C5FD7"/>
    <w:rsid w:val="0040188A"/>
    <w:rsid w:val="00407D21"/>
    <w:rsid w:val="004217B7"/>
    <w:rsid w:val="0043444E"/>
    <w:rsid w:val="00437958"/>
    <w:rsid w:val="00437E34"/>
    <w:rsid w:val="0044014E"/>
    <w:rsid w:val="004433DB"/>
    <w:rsid w:val="00450916"/>
    <w:rsid w:val="00460083"/>
    <w:rsid w:val="004616F1"/>
    <w:rsid w:val="00470AB1"/>
    <w:rsid w:val="0047433E"/>
    <w:rsid w:val="00476AA0"/>
    <w:rsid w:val="0048406D"/>
    <w:rsid w:val="004A1A6C"/>
    <w:rsid w:val="004A5FC1"/>
    <w:rsid w:val="004B1439"/>
    <w:rsid w:val="004C7E31"/>
    <w:rsid w:val="004E6E55"/>
    <w:rsid w:val="00503E46"/>
    <w:rsid w:val="00510938"/>
    <w:rsid w:val="005160A6"/>
    <w:rsid w:val="005170D2"/>
    <w:rsid w:val="0052049F"/>
    <w:rsid w:val="00534DD3"/>
    <w:rsid w:val="0054105F"/>
    <w:rsid w:val="005460CE"/>
    <w:rsid w:val="005478AC"/>
    <w:rsid w:val="005552A3"/>
    <w:rsid w:val="0055631D"/>
    <w:rsid w:val="00556E33"/>
    <w:rsid w:val="005640BF"/>
    <w:rsid w:val="005650BC"/>
    <w:rsid w:val="0057459F"/>
    <w:rsid w:val="00577F84"/>
    <w:rsid w:val="00580AAD"/>
    <w:rsid w:val="00585519"/>
    <w:rsid w:val="0059620F"/>
    <w:rsid w:val="005C4AF7"/>
    <w:rsid w:val="005E4C81"/>
    <w:rsid w:val="00602021"/>
    <w:rsid w:val="0060287B"/>
    <w:rsid w:val="00603A94"/>
    <w:rsid w:val="006213F9"/>
    <w:rsid w:val="00623E52"/>
    <w:rsid w:val="00627F72"/>
    <w:rsid w:val="00636212"/>
    <w:rsid w:val="006416AF"/>
    <w:rsid w:val="00645AD0"/>
    <w:rsid w:val="00654B2A"/>
    <w:rsid w:val="00656C73"/>
    <w:rsid w:val="00657358"/>
    <w:rsid w:val="00657D2E"/>
    <w:rsid w:val="00667F9C"/>
    <w:rsid w:val="00681DC8"/>
    <w:rsid w:val="00690E70"/>
    <w:rsid w:val="006A0D96"/>
    <w:rsid w:val="006C0A4A"/>
    <w:rsid w:val="006D13A0"/>
    <w:rsid w:val="006D176A"/>
    <w:rsid w:val="006D195E"/>
    <w:rsid w:val="006D22A4"/>
    <w:rsid w:val="006D6799"/>
    <w:rsid w:val="006E0511"/>
    <w:rsid w:val="006E60DF"/>
    <w:rsid w:val="0070562B"/>
    <w:rsid w:val="00721F71"/>
    <w:rsid w:val="0073360C"/>
    <w:rsid w:val="00736B38"/>
    <w:rsid w:val="00742C85"/>
    <w:rsid w:val="00752249"/>
    <w:rsid w:val="00754539"/>
    <w:rsid w:val="00754FD0"/>
    <w:rsid w:val="0077361B"/>
    <w:rsid w:val="0078467D"/>
    <w:rsid w:val="007848D3"/>
    <w:rsid w:val="0079199D"/>
    <w:rsid w:val="0079305F"/>
    <w:rsid w:val="007B6D3B"/>
    <w:rsid w:val="007C3727"/>
    <w:rsid w:val="007C40CE"/>
    <w:rsid w:val="007E0B53"/>
    <w:rsid w:val="00800766"/>
    <w:rsid w:val="00805843"/>
    <w:rsid w:val="00805CC5"/>
    <w:rsid w:val="0080655E"/>
    <w:rsid w:val="00813045"/>
    <w:rsid w:val="008130DA"/>
    <w:rsid w:val="00815481"/>
    <w:rsid w:val="00817377"/>
    <w:rsid w:val="00831E2B"/>
    <w:rsid w:val="00853C6E"/>
    <w:rsid w:val="00857CA5"/>
    <w:rsid w:val="00886BD5"/>
    <w:rsid w:val="0089320B"/>
    <w:rsid w:val="00896C6F"/>
    <w:rsid w:val="008A6E66"/>
    <w:rsid w:val="008C1EA3"/>
    <w:rsid w:val="008C6F6A"/>
    <w:rsid w:val="008D51A0"/>
    <w:rsid w:val="008E494E"/>
    <w:rsid w:val="008F15EA"/>
    <w:rsid w:val="00913F14"/>
    <w:rsid w:val="0091767C"/>
    <w:rsid w:val="0092306F"/>
    <w:rsid w:val="009407A1"/>
    <w:rsid w:val="00945145"/>
    <w:rsid w:val="00945C7F"/>
    <w:rsid w:val="00946D4A"/>
    <w:rsid w:val="00950D76"/>
    <w:rsid w:val="00956B75"/>
    <w:rsid w:val="00960659"/>
    <w:rsid w:val="00965378"/>
    <w:rsid w:val="00973EEB"/>
    <w:rsid w:val="00977AE7"/>
    <w:rsid w:val="00986E1D"/>
    <w:rsid w:val="009A3885"/>
    <w:rsid w:val="009A6291"/>
    <w:rsid w:val="009A6579"/>
    <w:rsid w:val="009B6FCA"/>
    <w:rsid w:val="009C6EA8"/>
    <w:rsid w:val="009D2241"/>
    <w:rsid w:val="009D4F89"/>
    <w:rsid w:val="009E4BB1"/>
    <w:rsid w:val="00A017CA"/>
    <w:rsid w:val="00A139C9"/>
    <w:rsid w:val="00A2539A"/>
    <w:rsid w:val="00A25A48"/>
    <w:rsid w:val="00A35390"/>
    <w:rsid w:val="00A37F31"/>
    <w:rsid w:val="00A42571"/>
    <w:rsid w:val="00A60995"/>
    <w:rsid w:val="00A648D1"/>
    <w:rsid w:val="00A66F2A"/>
    <w:rsid w:val="00A761D3"/>
    <w:rsid w:val="00A92D0C"/>
    <w:rsid w:val="00A96CA0"/>
    <w:rsid w:val="00AA16AC"/>
    <w:rsid w:val="00AB1D2A"/>
    <w:rsid w:val="00AB30DB"/>
    <w:rsid w:val="00AC3065"/>
    <w:rsid w:val="00AD642D"/>
    <w:rsid w:val="00AE1A13"/>
    <w:rsid w:val="00AE3BB8"/>
    <w:rsid w:val="00AE3EB4"/>
    <w:rsid w:val="00AE6343"/>
    <w:rsid w:val="00AF6456"/>
    <w:rsid w:val="00B01F83"/>
    <w:rsid w:val="00B062F3"/>
    <w:rsid w:val="00B330BD"/>
    <w:rsid w:val="00B40DFC"/>
    <w:rsid w:val="00B704CC"/>
    <w:rsid w:val="00B92635"/>
    <w:rsid w:val="00BA6A26"/>
    <w:rsid w:val="00BA70FF"/>
    <w:rsid w:val="00BA71CB"/>
    <w:rsid w:val="00BB55D6"/>
    <w:rsid w:val="00BC1205"/>
    <w:rsid w:val="00BD6EF6"/>
    <w:rsid w:val="00BE0E5A"/>
    <w:rsid w:val="00BF05EC"/>
    <w:rsid w:val="00BF155E"/>
    <w:rsid w:val="00BF7895"/>
    <w:rsid w:val="00C066D8"/>
    <w:rsid w:val="00C10518"/>
    <w:rsid w:val="00C105B5"/>
    <w:rsid w:val="00C16329"/>
    <w:rsid w:val="00C20959"/>
    <w:rsid w:val="00C22763"/>
    <w:rsid w:val="00C34FFF"/>
    <w:rsid w:val="00C41C9C"/>
    <w:rsid w:val="00C5567F"/>
    <w:rsid w:val="00C60C7C"/>
    <w:rsid w:val="00C63D82"/>
    <w:rsid w:val="00C746BD"/>
    <w:rsid w:val="00C76AED"/>
    <w:rsid w:val="00C919A0"/>
    <w:rsid w:val="00CC1EAA"/>
    <w:rsid w:val="00CC316C"/>
    <w:rsid w:val="00CD08DE"/>
    <w:rsid w:val="00CD4658"/>
    <w:rsid w:val="00CF3506"/>
    <w:rsid w:val="00D0513E"/>
    <w:rsid w:val="00D061C3"/>
    <w:rsid w:val="00D126F1"/>
    <w:rsid w:val="00D128E8"/>
    <w:rsid w:val="00D15637"/>
    <w:rsid w:val="00D1723D"/>
    <w:rsid w:val="00D27B49"/>
    <w:rsid w:val="00D34058"/>
    <w:rsid w:val="00D432FD"/>
    <w:rsid w:val="00D71B10"/>
    <w:rsid w:val="00D729BF"/>
    <w:rsid w:val="00D7710D"/>
    <w:rsid w:val="00D83A25"/>
    <w:rsid w:val="00D9455C"/>
    <w:rsid w:val="00DA2234"/>
    <w:rsid w:val="00DB7C1E"/>
    <w:rsid w:val="00DC55EC"/>
    <w:rsid w:val="00DC6504"/>
    <w:rsid w:val="00DD184E"/>
    <w:rsid w:val="00DD2BDC"/>
    <w:rsid w:val="00DE4001"/>
    <w:rsid w:val="00DE613A"/>
    <w:rsid w:val="00DF411E"/>
    <w:rsid w:val="00E02A9E"/>
    <w:rsid w:val="00E22DD1"/>
    <w:rsid w:val="00E302C4"/>
    <w:rsid w:val="00E3381F"/>
    <w:rsid w:val="00E35D19"/>
    <w:rsid w:val="00E4060D"/>
    <w:rsid w:val="00E4062C"/>
    <w:rsid w:val="00E40C3D"/>
    <w:rsid w:val="00E44884"/>
    <w:rsid w:val="00E456F1"/>
    <w:rsid w:val="00E46188"/>
    <w:rsid w:val="00E54BEE"/>
    <w:rsid w:val="00E64AEC"/>
    <w:rsid w:val="00E72019"/>
    <w:rsid w:val="00E8432A"/>
    <w:rsid w:val="00EA2981"/>
    <w:rsid w:val="00EB2CA3"/>
    <w:rsid w:val="00EB49AC"/>
    <w:rsid w:val="00EC22D0"/>
    <w:rsid w:val="00EC23F2"/>
    <w:rsid w:val="00EC789A"/>
    <w:rsid w:val="00ED27FC"/>
    <w:rsid w:val="00F03600"/>
    <w:rsid w:val="00F07937"/>
    <w:rsid w:val="00F105E6"/>
    <w:rsid w:val="00F27208"/>
    <w:rsid w:val="00F34596"/>
    <w:rsid w:val="00F35E94"/>
    <w:rsid w:val="00F40BDC"/>
    <w:rsid w:val="00F4138C"/>
    <w:rsid w:val="00F41BD7"/>
    <w:rsid w:val="00F4702E"/>
    <w:rsid w:val="00F47C51"/>
    <w:rsid w:val="00F56E8C"/>
    <w:rsid w:val="00F677F0"/>
    <w:rsid w:val="00F67F9D"/>
    <w:rsid w:val="00F73353"/>
    <w:rsid w:val="00F80C68"/>
    <w:rsid w:val="00F90B4C"/>
    <w:rsid w:val="00F93942"/>
    <w:rsid w:val="00F95110"/>
    <w:rsid w:val="00FB5F93"/>
    <w:rsid w:val="00FC30D6"/>
    <w:rsid w:val="00FC47BB"/>
    <w:rsid w:val="00FC7E7D"/>
    <w:rsid w:val="00FE3DE4"/>
    <w:rsid w:val="00FE64F6"/>
    <w:rsid w:val="00FE7EB4"/>
    <w:rsid w:val="00FF55E8"/>
    <w:rsid w:val="00FF5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C7C55"/>
  <w15:chartTrackingRefBased/>
  <w15:docId w15:val="{802843E4-AE45-49BC-A261-033C861B4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1F83"/>
    <w:pPr>
      <w:spacing w:after="0" w:line="240" w:lineRule="auto"/>
    </w:pPr>
  </w:style>
  <w:style w:type="paragraph" w:styleId="Heading3">
    <w:name w:val="heading 3"/>
    <w:basedOn w:val="Normal"/>
    <w:link w:val="Heading3Char"/>
    <w:uiPriority w:val="9"/>
    <w:qFormat/>
    <w:rsid w:val="003105D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1F83"/>
    <w:rPr>
      <w:color w:val="0563C1" w:themeColor="hyperlink"/>
      <w:u w:val="single"/>
    </w:rPr>
  </w:style>
  <w:style w:type="paragraph" w:styleId="BalloonText">
    <w:name w:val="Balloon Text"/>
    <w:basedOn w:val="Normal"/>
    <w:link w:val="BalloonTextChar"/>
    <w:uiPriority w:val="99"/>
    <w:semiHidden/>
    <w:unhideWhenUsed/>
    <w:rsid w:val="0032332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325"/>
    <w:rPr>
      <w:rFonts w:ascii="Segoe UI" w:hAnsi="Segoe UI" w:cs="Segoe UI"/>
      <w:sz w:val="18"/>
      <w:szCs w:val="18"/>
    </w:rPr>
  </w:style>
  <w:style w:type="character" w:styleId="Emphasis">
    <w:name w:val="Emphasis"/>
    <w:basedOn w:val="DefaultParagraphFont"/>
    <w:uiPriority w:val="20"/>
    <w:qFormat/>
    <w:rsid w:val="003105DB"/>
    <w:rPr>
      <w:i/>
      <w:iCs/>
    </w:rPr>
  </w:style>
  <w:style w:type="character" w:customStyle="1" w:styleId="Heading3Char">
    <w:name w:val="Heading 3 Char"/>
    <w:basedOn w:val="DefaultParagraphFont"/>
    <w:link w:val="Heading3"/>
    <w:uiPriority w:val="9"/>
    <w:rsid w:val="003105DB"/>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105DB"/>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577F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7F84"/>
    <w:pPr>
      <w:ind w:left="720"/>
      <w:contextualSpacing/>
    </w:pPr>
  </w:style>
  <w:style w:type="character" w:styleId="UnresolvedMention">
    <w:name w:val="Unresolved Mention"/>
    <w:basedOn w:val="DefaultParagraphFont"/>
    <w:uiPriority w:val="99"/>
    <w:semiHidden/>
    <w:unhideWhenUsed/>
    <w:rsid w:val="00D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42959">
      <w:bodyDiv w:val="1"/>
      <w:marLeft w:val="0"/>
      <w:marRight w:val="0"/>
      <w:marTop w:val="0"/>
      <w:marBottom w:val="0"/>
      <w:divBdr>
        <w:top w:val="none" w:sz="0" w:space="0" w:color="auto"/>
        <w:left w:val="none" w:sz="0" w:space="0" w:color="auto"/>
        <w:bottom w:val="none" w:sz="0" w:space="0" w:color="auto"/>
        <w:right w:val="none" w:sz="0" w:space="0" w:color="auto"/>
      </w:divBdr>
    </w:div>
    <w:div w:id="338898304">
      <w:bodyDiv w:val="1"/>
      <w:marLeft w:val="0"/>
      <w:marRight w:val="0"/>
      <w:marTop w:val="0"/>
      <w:marBottom w:val="0"/>
      <w:divBdr>
        <w:top w:val="none" w:sz="0" w:space="0" w:color="auto"/>
        <w:left w:val="none" w:sz="0" w:space="0" w:color="auto"/>
        <w:bottom w:val="none" w:sz="0" w:space="0" w:color="auto"/>
        <w:right w:val="none" w:sz="0" w:space="0" w:color="auto"/>
      </w:divBdr>
    </w:div>
    <w:div w:id="519974862">
      <w:bodyDiv w:val="1"/>
      <w:marLeft w:val="0"/>
      <w:marRight w:val="0"/>
      <w:marTop w:val="0"/>
      <w:marBottom w:val="0"/>
      <w:divBdr>
        <w:top w:val="none" w:sz="0" w:space="0" w:color="auto"/>
        <w:left w:val="none" w:sz="0" w:space="0" w:color="auto"/>
        <w:bottom w:val="none" w:sz="0" w:space="0" w:color="auto"/>
        <w:right w:val="none" w:sz="0" w:space="0" w:color="auto"/>
      </w:divBdr>
    </w:div>
    <w:div w:id="809322476">
      <w:bodyDiv w:val="1"/>
      <w:marLeft w:val="0"/>
      <w:marRight w:val="0"/>
      <w:marTop w:val="0"/>
      <w:marBottom w:val="0"/>
      <w:divBdr>
        <w:top w:val="none" w:sz="0" w:space="0" w:color="auto"/>
        <w:left w:val="none" w:sz="0" w:space="0" w:color="auto"/>
        <w:bottom w:val="none" w:sz="0" w:space="0" w:color="auto"/>
        <w:right w:val="none" w:sz="0" w:space="0" w:color="auto"/>
      </w:divBdr>
    </w:div>
    <w:div w:id="859507291">
      <w:bodyDiv w:val="1"/>
      <w:marLeft w:val="0"/>
      <w:marRight w:val="0"/>
      <w:marTop w:val="0"/>
      <w:marBottom w:val="0"/>
      <w:divBdr>
        <w:top w:val="none" w:sz="0" w:space="0" w:color="auto"/>
        <w:left w:val="none" w:sz="0" w:space="0" w:color="auto"/>
        <w:bottom w:val="none" w:sz="0" w:space="0" w:color="auto"/>
        <w:right w:val="none" w:sz="0" w:space="0" w:color="auto"/>
      </w:divBdr>
    </w:div>
    <w:div w:id="984774028">
      <w:bodyDiv w:val="1"/>
      <w:marLeft w:val="0"/>
      <w:marRight w:val="0"/>
      <w:marTop w:val="0"/>
      <w:marBottom w:val="0"/>
      <w:divBdr>
        <w:top w:val="none" w:sz="0" w:space="0" w:color="auto"/>
        <w:left w:val="none" w:sz="0" w:space="0" w:color="auto"/>
        <w:bottom w:val="none" w:sz="0" w:space="0" w:color="auto"/>
        <w:right w:val="none" w:sz="0" w:space="0" w:color="auto"/>
      </w:divBdr>
    </w:div>
    <w:div w:id="1262571844">
      <w:bodyDiv w:val="1"/>
      <w:marLeft w:val="0"/>
      <w:marRight w:val="0"/>
      <w:marTop w:val="0"/>
      <w:marBottom w:val="0"/>
      <w:divBdr>
        <w:top w:val="none" w:sz="0" w:space="0" w:color="auto"/>
        <w:left w:val="none" w:sz="0" w:space="0" w:color="auto"/>
        <w:bottom w:val="none" w:sz="0" w:space="0" w:color="auto"/>
        <w:right w:val="none" w:sz="0" w:space="0" w:color="auto"/>
      </w:divBdr>
    </w:div>
    <w:div w:id="1414355857">
      <w:bodyDiv w:val="1"/>
      <w:marLeft w:val="0"/>
      <w:marRight w:val="0"/>
      <w:marTop w:val="0"/>
      <w:marBottom w:val="0"/>
      <w:divBdr>
        <w:top w:val="none" w:sz="0" w:space="0" w:color="auto"/>
        <w:left w:val="none" w:sz="0" w:space="0" w:color="auto"/>
        <w:bottom w:val="none" w:sz="0" w:space="0" w:color="auto"/>
        <w:right w:val="none" w:sz="0" w:space="0" w:color="auto"/>
      </w:divBdr>
    </w:div>
    <w:div w:id="1445222968">
      <w:bodyDiv w:val="1"/>
      <w:marLeft w:val="0"/>
      <w:marRight w:val="0"/>
      <w:marTop w:val="0"/>
      <w:marBottom w:val="0"/>
      <w:divBdr>
        <w:top w:val="none" w:sz="0" w:space="0" w:color="auto"/>
        <w:left w:val="none" w:sz="0" w:space="0" w:color="auto"/>
        <w:bottom w:val="none" w:sz="0" w:space="0" w:color="auto"/>
        <w:right w:val="none" w:sz="0" w:space="0" w:color="auto"/>
      </w:divBdr>
    </w:div>
    <w:div w:id="1666938611">
      <w:bodyDiv w:val="1"/>
      <w:marLeft w:val="0"/>
      <w:marRight w:val="0"/>
      <w:marTop w:val="0"/>
      <w:marBottom w:val="0"/>
      <w:divBdr>
        <w:top w:val="none" w:sz="0" w:space="0" w:color="auto"/>
        <w:left w:val="none" w:sz="0" w:space="0" w:color="auto"/>
        <w:bottom w:val="none" w:sz="0" w:space="0" w:color="auto"/>
        <w:right w:val="none" w:sz="0" w:space="0" w:color="auto"/>
      </w:divBdr>
    </w:div>
    <w:div w:id="1719818471">
      <w:bodyDiv w:val="1"/>
      <w:marLeft w:val="0"/>
      <w:marRight w:val="0"/>
      <w:marTop w:val="0"/>
      <w:marBottom w:val="0"/>
      <w:divBdr>
        <w:top w:val="none" w:sz="0" w:space="0" w:color="auto"/>
        <w:left w:val="none" w:sz="0" w:space="0" w:color="auto"/>
        <w:bottom w:val="none" w:sz="0" w:space="0" w:color="auto"/>
        <w:right w:val="none" w:sz="0" w:space="0" w:color="auto"/>
      </w:divBdr>
    </w:div>
    <w:div w:id="2031178944">
      <w:bodyDiv w:val="1"/>
      <w:marLeft w:val="0"/>
      <w:marRight w:val="0"/>
      <w:marTop w:val="0"/>
      <w:marBottom w:val="0"/>
      <w:divBdr>
        <w:top w:val="none" w:sz="0" w:space="0" w:color="auto"/>
        <w:left w:val="none" w:sz="0" w:space="0" w:color="auto"/>
        <w:bottom w:val="none" w:sz="0" w:space="0" w:color="auto"/>
        <w:right w:val="none" w:sz="0" w:space="0" w:color="auto"/>
      </w:divBdr>
    </w:div>
    <w:div w:id="21093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ettings" Target="settings.xml"/><Relationship Id="rId7" Type="http://schemas.openxmlformats.org/officeDocument/2006/relationships/hyperlink" Target="mailto:mike@gmar." TargetMode="External"/><Relationship Id="rId12" Type="http://schemas.openxmlformats.org/officeDocument/2006/relationships/chart" Target="charts/chart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ke@gmar." TargetMode="External"/><Relationship Id="rId11" Type="http://schemas.openxmlformats.org/officeDocument/2006/relationships/chart" Target="charts/chart4.xml"/><Relationship Id="rId5" Type="http://schemas.openxmlformats.org/officeDocument/2006/relationships/image" Target="media/image1.gif"/><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ke\Downloads\2020-09-30%20Housing%20Sta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ke\Dropbox\GMAR\001%20-%20MLS%20Statistical%20History.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latin typeface="+mn-lt"/>
              </a:rPr>
              <a:t>Sales Comparison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667086614173227"/>
          <c:y val="0.16862808187126238"/>
          <c:w val="0.76832913385826773"/>
          <c:h val="0.63607735800551435"/>
        </c:manualLayout>
      </c:layout>
      <c:lineChart>
        <c:grouping val="standard"/>
        <c:varyColors val="0"/>
        <c:ser>
          <c:idx val="0"/>
          <c:order val="0"/>
          <c:tx>
            <c:strRef>
              <c:f>'Monthly Stats'!$I$22</c:f>
              <c:strCache>
                <c:ptCount val="1"/>
                <c:pt idx="0">
                  <c:v>Sold 19</c:v>
                </c:pt>
              </c:strCache>
            </c:strRef>
          </c:tx>
          <c:spPr>
            <a:ln w="28575" cap="rnd">
              <a:solidFill>
                <a:schemeClr val="accent1">
                  <a:tint val="77000"/>
                </a:schemeClr>
              </a:solidFill>
              <a:round/>
            </a:ln>
            <a:effectLst/>
          </c:spPr>
          <c:marker>
            <c:symbol val="square"/>
            <c:size val="5"/>
            <c:spPr>
              <a:solidFill>
                <a:schemeClr val="accent1">
                  <a:tint val="77000"/>
                </a:schemeClr>
              </a:solidFill>
              <a:ln w="9525">
                <a:solidFill>
                  <a:schemeClr val="accent1">
                    <a:tint val="77000"/>
                  </a:schemeClr>
                </a:solidFill>
              </a:ln>
              <a:effectLst/>
            </c:spPr>
          </c:marker>
          <c:dPt>
            <c:idx val="4"/>
            <c:marker>
              <c:symbol val="square"/>
              <c:size val="5"/>
              <c:spPr>
                <a:solidFill>
                  <a:schemeClr val="accent1">
                    <a:tint val="77000"/>
                  </a:schemeClr>
                </a:solidFill>
                <a:ln w="9525">
                  <a:solidFill>
                    <a:schemeClr val="accent1">
                      <a:tint val="77000"/>
                    </a:schemeClr>
                  </a:solidFill>
                </a:ln>
                <a:effectLst/>
              </c:spPr>
            </c:marker>
            <c:bubble3D val="0"/>
            <c:spPr>
              <a:ln w="28575" cap="rnd">
                <a:solidFill>
                  <a:srgbClr val="97B9E0"/>
                </a:solidFill>
                <a:round/>
              </a:ln>
              <a:effectLst/>
            </c:spPr>
            <c:extLst>
              <c:ext xmlns:c16="http://schemas.microsoft.com/office/drawing/2014/chart" uri="{C3380CC4-5D6E-409C-BE32-E72D297353CC}">
                <c16:uniqueId val="{00000001-F3E4-45C3-9878-C665C19F532D}"/>
              </c:ext>
            </c:extLst>
          </c:dPt>
          <c:cat>
            <c:strRef>
              <c:f>'Monthly Stats'!$G$23:$G$31</c:f>
              <c:strCache>
                <c:ptCount val="9"/>
                <c:pt idx="0">
                  <c:v>Jan</c:v>
                </c:pt>
                <c:pt idx="1">
                  <c:v>Feb</c:v>
                </c:pt>
                <c:pt idx="2">
                  <c:v>Mar</c:v>
                </c:pt>
                <c:pt idx="3">
                  <c:v>Apr</c:v>
                </c:pt>
                <c:pt idx="4">
                  <c:v>May</c:v>
                </c:pt>
                <c:pt idx="5">
                  <c:v>Jun</c:v>
                </c:pt>
                <c:pt idx="6">
                  <c:v>Jul</c:v>
                </c:pt>
                <c:pt idx="7">
                  <c:v>Aug</c:v>
                </c:pt>
                <c:pt idx="8">
                  <c:v>Sep</c:v>
                </c:pt>
              </c:strCache>
            </c:strRef>
          </c:cat>
          <c:val>
            <c:numRef>
              <c:f>'Monthly Stats'!$I$23:$I$31</c:f>
              <c:numCache>
                <c:formatCode>General</c:formatCode>
                <c:ptCount val="9"/>
                <c:pt idx="0">
                  <c:v>1008</c:v>
                </c:pt>
                <c:pt idx="1">
                  <c:v>1039</c:v>
                </c:pt>
                <c:pt idx="2">
                  <c:v>1402</c:v>
                </c:pt>
                <c:pt idx="3">
                  <c:v>1757</c:v>
                </c:pt>
                <c:pt idx="4">
                  <c:v>2136</c:v>
                </c:pt>
                <c:pt idx="5">
                  <c:v>2232</c:v>
                </c:pt>
                <c:pt idx="6">
                  <c:v>2263</c:v>
                </c:pt>
                <c:pt idx="7">
                  <c:v>2224</c:v>
                </c:pt>
                <c:pt idx="8">
                  <c:v>1785</c:v>
                </c:pt>
              </c:numCache>
            </c:numRef>
          </c:val>
          <c:smooth val="0"/>
          <c:extLst>
            <c:ext xmlns:c16="http://schemas.microsoft.com/office/drawing/2014/chart" uri="{C3380CC4-5D6E-409C-BE32-E72D297353CC}">
              <c16:uniqueId val="{00000002-F3E4-45C3-9878-C665C19F532D}"/>
            </c:ext>
          </c:extLst>
        </c:ser>
        <c:ser>
          <c:idx val="1"/>
          <c:order val="1"/>
          <c:tx>
            <c:strRef>
              <c:f>'Monthly Stats'!$J$22</c:f>
              <c:strCache>
                <c:ptCount val="1"/>
                <c:pt idx="0">
                  <c:v>Sold 20</c:v>
                </c:pt>
              </c:strCache>
            </c:strRef>
          </c:tx>
          <c:spPr>
            <a:ln w="28575" cap="rnd">
              <a:solidFill>
                <a:srgbClr val="5089BC"/>
              </a:solidFill>
              <a:round/>
            </a:ln>
            <a:effectLst/>
          </c:spPr>
          <c:marker>
            <c:symbol val="circle"/>
            <c:size val="5"/>
            <c:spPr>
              <a:solidFill>
                <a:schemeClr val="accent1">
                  <a:shade val="76000"/>
                </a:schemeClr>
              </a:solidFill>
              <a:ln w="9525">
                <a:solidFill>
                  <a:schemeClr val="accent1">
                    <a:shade val="76000"/>
                  </a:schemeClr>
                </a:solidFill>
              </a:ln>
              <a:effectLst/>
            </c:spPr>
          </c:marker>
          <c:cat>
            <c:strRef>
              <c:f>'Monthly Stats'!$G$23:$G$31</c:f>
              <c:strCache>
                <c:ptCount val="9"/>
                <c:pt idx="0">
                  <c:v>Jan</c:v>
                </c:pt>
                <c:pt idx="1">
                  <c:v>Feb</c:v>
                </c:pt>
                <c:pt idx="2">
                  <c:v>Mar</c:v>
                </c:pt>
                <c:pt idx="3">
                  <c:v>Apr</c:v>
                </c:pt>
                <c:pt idx="4">
                  <c:v>May</c:v>
                </c:pt>
                <c:pt idx="5">
                  <c:v>Jun</c:v>
                </c:pt>
                <c:pt idx="6">
                  <c:v>Jul</c:v>
                </c:pt>
                <c:pt idx="7">
                  <c:v>Aug</c:v>
                </c:pt>
                <c:pt idx="8">
                  <c:v>Sep</c:v>
                </c:pt>
              </c:strCache>
            </c:strRef>
          </c:cat>
          <c:val>
            <c:numRef>
              <c:f>'Monthly Stats'!$J$23:$J$31</c:f>
              <c:numCache>
                <c:formatCode>General</c:formatCode>
                <c:ptCount val="9"/>
                <c:pt idx="0">
                  <c:v>1092</c:v>
                </c:pt>
                <c:pt idx="1">
                  <c:v>1116</c:v>
                </c:pt>
                <c:pt idx="2">
                  <c:v>1581</c:v>
                </c:pt>
                <c:pt idx="3">
                  <c:v>1596</c:v>
                </c:pt>
                <c:pt idx="4">
                  <c:v>1598</c:v>
                </c:pt>
                <c:pt idx="5">
                  <c:v>1927</c:v>
                </c:pt>
                <c:pt idx="6">
                  <c:v>2334</c:v>
                </c:pt>
                <c:pt idx="7">
                  <c:v>2342</c:v>
                </c:pt>
                <c:pt idx="8">
                  <c:v>2289</c:v>
                </c:pt>
              </c:numCache>
            </c:numRef>
          </c:val>
          <c:smooth val="0"/>
          <c:extLst>
            <c:ext xmlns:c16="http://schemas.microsoft.com/office/drawing/2014/chart" uri="{C3380CC4-5D6E-409C-BE32-E72D297353CC}">
              <c16:uniqueId val="{00000003-F3E4-45C3-9878-C665C19F532D}"/>
            </c:ext>
          </c:extLst>
        </c:ser>
        <c:dLbls>
          <c:showLegendKey val="0"/>
          <c:showVal val="0"/>
          <c:showCatName val="0"/>
          <c:showSerName val="0"/>
          <c:showPercent val="0"/>
          <c:showBubbleSize val="0"/>
        </c:dLbls>
        <c:marker val="1"/>
        <c:smooth val="0"/>
        <c:axId val="1256250144"/>
        <c:axId val="1254122864"/>
      </c:lineChart>
      <c:catAx>
        <c:axId val="12562501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22864"/>
        <c:crosses val="autoZero"/>
        <c:auto val="1"/>
        <c:lblAlgn val="ctr"/>
        <c:lblOffset val="100"/>
        <c:noMultiLvlLbl val="0"/>
      </c:catAx>
      <c:valAx>
        <c:axId val="1254122864"/>
        <c:scaling>
          <c:orientation val="minMax"/>
          <c:max val="2500"/>
          <c:min val="750"/>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625014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lgn="just">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a:solidFill>
                  <a:sysClr val="windowText" lastClr="000000"/>
                </a:solidFill>
              </a:rPr>
              <a:t>Sold Units</a:t>
            </a:r>
          </a:p>
        </c:rich>
      </c:tx>
      <c:layout>
        <c:manualLayout>
          <c:xMode val="edge"/>
          <c:yMode val="edge"/>
          <c:x val="0.47243597391235198"/>
          <c:y val="6.371172353455817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1703514433250083"/>
          <c:y val="8.8379629629629641E-2"/>
          <c:w val="0.85368227880073488"/>
          <c:h val="0.76121172353455813"/>
        </c:manualLayout>
      </c:layout>
      <c:barChart>
        <c:barDir val="col"/>
        <c:grouping val="clustered"/>
        <c:varyColors val="0"/>
        <c:ser>
          <c:idx val="0"/>
          <c:order val="0"/>
          <c:spPr>
            <a:solidFill>
              <a:srgbClr val="5089BC"/>
            </a:solidFill>
            <a:ln>
              <a:noFill/>
            </a:ln>
            <a:effectLst/>
          </c:spPr>
          <c:invertIfNegative val="0"/>
          <c:dPt>
            <c:idx val="15"/>
            <c:invertIfNegative val="0"/>
            <c:bubble3D val="0"/>
            <c:spPr>
              <a:solidFill>
                <a:srgbClr val="5089BC"/>
              </a:solidFill>
              <a:ln>
                <a:noFill/>
              </a:ln>
              <a:effectLst/>
            </c:spPr>
            <c:extLst>
              <c:ext xmlns:c16="http://schemas.microsoft.com/office/drawing/2014/chart" uri="{C3380CC4-5D6E-409C-BE32-E72D297353CC}">
                <c16:uniqueId val="{00000001-2F66-4B5F-AD91-65B1EAB2222E}"/>
              </c:ext>
            </c:extLst>
          </c:dPt>
          <c:dPt>
            <c:idx val="16"/>
            <c:invertIfNegative val="0"/>
            <c:bubble3D val="0"/>
            <c:spPr>
              <a:solidFill>
                <a:srgbClr val="5089BC"/>
              </a:solidFill>
              <a:ln>
                <a:noFill/>
              </a:ln>
              <a:effectLst/>
            </c:spPr>
            <c:extLst>
              <c:ext xmlns:c16="http://schemas.microsoft.com/office/drawing/2014/chart" uri="{C3380CC4-5D6E-409C-BE32-E72D297353CC}">
                <c16:uniqueId val="{00000003-2F66-4B5F-AD91-65B1EAB2222E}"/>
              </c:ext>
            </c:extLst>
          </c:dPt>
          <c:dPt>
            <c:idx val="17"/>
            <c:invertIfNegative val="0"/>
            <c:bubble3D val="0"/>
            <c:spPr>
              <a:solidFill>
                <a:srgbClr val="5089BC"/>
              </a:solidFill>
              <a:ln>
                <a:noFill/>
              </a:ln>
              <a:effectLst/>
            </c:spPr>
            <c:extLst>
              <c:ext xmlns:c16="http://schemas.microsoft.com/office/drawing/2014/chart" uri="{C3380CC4-5D6E-409C-BE32-E72D297353CC}">
                <c16:uniqueId val="{00000005-2F66-4B5F-AD91-65B1EAB2222E}"/>
              </c:ext>
            </c:extLst>
          </c:dPt>
          <c:dPt>
            <c:idx val="18"/>
            <c:invertIfNegative val="0"/>
            <c:bubble3D val="0"/>
            <c:spPr>
              <a:solidFill>
                <a:srgbClr val="5089BC"/>
              </a:solidFill>
              <a:ln>
                <a:noFill/>
              </a:ln>
              <a:effectLst/>
            </c:spPr>
            <c:extLst>
              <c:ext xmlns:c16="http://schemas.microsoft.com/office/drawing/2014/chart" uri="{C3380CC4-5D6E-409C-BE32-E72D297353CC}">
                <c16:uniqueId val="{00000007-2F66-4B5F-AD91-65B1EAB2222E}"/>
              </c:ext>
            </c:extLst>
          </c:dPt>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Data'!$B$24:$V$24</c:f>
              <c:strCache>
                <c:ptCount val="21"/>
                <c:pt idx="0">
                  <c:v> 2000</c:v>
                </c:pt>
                <c:pt idx="1">
                  <c:v> 2001</c:v>
                </c:pt>
                <c:pt idx="2">
                  <c:v> 2002</c:v>
                </c:pt>
                <c:pt idx="3">
                  <c:v> 2003</c:v>
                </c:pt>
                <c:pt idx="4">
                  <c:v> 2004</c:v>
                </c:pt>
                <c:pt idx="5">
                  <c:v> 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strCache>
            </c:strRef>
          </c:cat>
          <c:val>
            <c:numRef>
              <c:f>'Monthly Stats Data'!$B$40:$V$40</c:f>
              <c:numCache>
                <c:formatCode>_(* #,##0_);_(* \(#,##0\);_(* "-"??_);_(@_)</c:formatCode>
                <c:ptCount val="21"/>
                <c:pt idx="0">
                  <c:v>16310</c:v>
                </c:pt>
                <c:pt idx="1">
                  <c:v>17321</c:v>
                </c:pt>
                <c:pt idx="2">
                  <c:v>18479</c:v>
                </c:pt>
                <c:pt idx="3">
                  <c:v>19358</c:v>
                </c:pt>
                <c:pt idx="4">
                  <c:v>20427</c:v>
                </c:pt>
                <c:pt idx="5">
                  <c:v>21642</c:v>
                </c:pt>
                <c:pt idx="6">
                  <c:v>20071</c:v>
                </c:pt>
                <c:pt idx="7">
                  <c:v>17231</c:v>
                </c:pt>
                <c:pt idx="8">
                  <c:v>14119</c:v>
                </c:pt>
                <c:pt idx="9">
                  <c:v>14854</c:v>
                </c:pt>
                <c:pt idx="10">
                  <c:v>12865</c:v>
                </c:pt>
                <c:pt idx="11">
                  <c:v>13278</c:v>
                </c:pt>
                <c:pt idx="12">
                  <c:v>16579</c:v>
                </c:pt>
                <c:pt idx="13">
                  <c:v>18203</c:v>
                </c:pt>
                <c:pt idx="14">
                  <c:v>17749</c:v>
                </c:pt>
                <c:pt idx="15">
                  <c:v>19611</c:v>
                </c:pt>
                <c:pt idx="16" formatCode="#,##0">
                  <c:v>21007</c:v>
                </c:pt>
                <c:pt idx="17" formatCode="#,##0">
                  <c:v>21357</c:v>
                </c:pt>
                <c:pt idx="18" formatCode="#,##0">
                  <c:v>21060</c:v>
                </c:pt>
                <c:pt idx="19" formatCode="#,##0">
                  <c:v>21133</c:v>
                </c:pt>
                <c:pt idx="20" formatCode="#,##0">
                  <c:v>15875</c:v>
                </c:pt>
              </c:numCache>
            </c:numRef>
          </c:val>
          <c:extLst>
            <c:ext xmlns:c16="http://schemas.microsoft.com/office/drawing/2014/chart" uri="{C3380CC4-5D6E-409C-BE32-E72D297353CC}">
              <c16:uniqueId val="{00000008-2F66-4B5F-AD91-65B1EAB2222E}"/>
            </c:ext>
          </c:extLst>
        </c:ser>
        <c:dLbls>
          <c:dLblPos val="inEnd"/>
          <c:showLegendKey val="0"/>
          <c:showVal val="1"/>
          <c:showCatName val="0"/>
          <c:showSerName val="0"/>
          <c:showPercent val="0"/>
          <c:showBubbleSize val="0"/>
        </c:dLbls>
        <c:gapWidth val="114"/>
        <c:overlap val="-61"/>
        <c:axId val="458228000"/>
        <c:axId val="458226040"/>
      </c:barChart>
      <c:catAx>
        <c:axId val="458228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26040"/>
        <c:crosses val="autoZero"/>
        <c:auto val="1"/>
        <c:lblAlgn val="ctr"/>
        <c:lblOffset val="100"/>
        <c:noMultiLvlLbl val="0"/>
      </c:catAx>
      <c:valAx>
        <c:axId val="458226040"/>
        <c:scaling>
          <c:orientation val="minMax"/>
          <c:max val="23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82280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a:solidFill>
                  <a:sysClr val="windowText" lastClr="000000"/>
                </a:solidFill>
              </a:rPr>
              <a:t>4 County Sale Price (Through 3</a:t>
            </a:r>
            <a:r>
              <a:rPr lang="en-US" sz="1100" b="1" baseline="30000">
                <a:solidFill>
                  <a:sysClr val="windowText" lastClr="000000"/>
                </a:solidFill>
              </a:rPr>
              <a:t>rd</a:t>
            </a:r>
            <a:r>
              <a:rPr lang="en-US" sz="1100" b="1">
                <a:solidFill>
                  <a:sysClr val="windowText" lastClr="000000"/>
                </a:solidFill>
              </a:rPr>
              <a:t> Qtr)</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4745625546806648"/>
          <c:y val="0.16708333333333336"/>
          <c:w val="0.82198818897637793"/>
          <c:h val="0.65952209098862646"/>
        </c:manualLayout>
      </c:layout>
      <c:barChart>
        <c:barDir val="col"/>
        <c:grouping val="clustered"/>
        <c:varyColors val="0"/>
        <c:ser>
          <c:idx val="2"/>
          <c:order val="2"/>
          <c:tx>
            <c:strRef>
              <c:f>'3rd QTR County Data'!$D$143</c:f>
              <c:strCache>
                <c:ptCount val="1"/>
                <c:pt idx="0">
                  <c:v> Avg Sale Price </c:v>
                </c:pt>
              </c:strCache>
            </c:strRef>
          </c:tx>
          <c:spPr>
            <a:solidFill>
              <a:srgbClr val="97B9E0"/>
            </a:solidFill>
            <a:ln>
              <a:noFill/>
            </a:ln>
            <a:effectLst/>
          </c:spPr>
          <c:invertIfNegative val="0"/>
          <c:dPt>
            <c:idx val="6"/>
            <c:invertIfNegative val="0"/>
            <c:bubble3D val="0"/>
            <c:spPr>
              <a:solidFill>
                <a:srgbClr val="97B9E0"/>
              </a:solidFill>
              <a:ln>
                <a:noFill/>
              </a:ln>
              <a:effectLst/>
            </c:spPr>
            <c:extLst>
              <c:ext xmlns:c16="http://schemas.microsoft.com/office/drawing/2014/chart" uri="{C3380CC4-5D6E-409C-BE32-E72D297353CC}">
                <c16:uniqueId val="{00000001-84C4-467E-9A9B-19D7EF875591}"/>
              </c:ext>
            </c:extLst>
          </c:dPt>
          <c:dPt>
            <c:idx val="17"/>
            <c:invertIfNegative val="0"/>
            <c:bubble3D val="0"/>
            <c:spPr>
              <a:solidFill>
                <a:srgbClr val="97B9E0"/>
              </a:solidFill>
              <a:ln>
                <a:noFill/>
              </a:ln>
              <a:effectLst/>
            </c:spPr>
            <c:extLst>
              <c:ext xmlns:c16="http://schemas.microsoft.com/office/drawing/2014/chart" uri="{C3380CC4-5D6E-409C-BE32-E72D297353CC}">
                <c16:uniqueId val="{00000003-84C4-467E-9A9B-19D7EF875591}"/>
              </c:ext>
            </c:extLst>
          </c:dPt>
          <c:dLbls>
            <c:spPr>
              <a:noFill/>
              <a:ln>
                <a:noFill/>
              </a:ln>
              <a:effectLst/>
            </c:spPr>
            <c:txPr>
              <a:bodyPr rot="-5400000" spcFirstLastPara="1" vertOverflow="ellipsis" wrap="square" lIns="38100" tIns="19050" rIns="38100" bIns="19050" anchor="ctr" anchorCtr="0">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'3rd QTR County Data'!$B$159:$B$179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'3rd QTR County Data'!$D$159:$D$179</c:f>
              <c:numCache>
                <c:formatCode>_("$"* #,##0_);_("$"* \(#,##0\);_("$"* "-"??_);_(@_)</c:formatCode>
                <c:ptCount val="21"/>
                <c:pt idx="0">
                  <c:v>180554</c:v>
                </c:pt>
                <c:pt idx="1">
                  <c:v>186735.75</c:v>
                </c:pt>
                <c:pt idx="2">
                  <c:v>205002.75</c:v>
                </c:pt>
                <c:pt idx="3">
                  <c:v>216405</c:v>
                </c:pt>
                <c:pt idx="4">
                  <c:v>236128.75</c:v>
                </c:pt>
                <c:pt idx="5">
                  <c:v>245881.5</c:v>
                </c:pt>
                <c:pt idx="6">
                  <c:v>258921.5</c:v>
                </c:pt>
                <c:pt idx="7">
                  <c:v>257902.25</c:v>
                </c:pt>
                <c:pt idx="8">
                  <c:v>247393.5</c:v>
                </c:pt>
                <c:pt idx="9">
                  <c:v>220222</c:v>
                </c:pt>
                <c:pt idx="10">
                  <c:v>224569</c:v>
                </c:pt>
                <c:pt idx="11">
                  <c:v>214694.25</c:v>
                </c:pt>
                <c:pt idx="12">
                  <c:v>210513</c:v>
                </c:pt>
                <c:pt idx="13">
                  <c:v>224832.5</c:v>
                </c:pt>
                <c:pt idx="14">
                  <c:v>227366.75</c:v>
                </c:pt>
                <c:pt idx="15">
                  <c:v>241838.75</c:v>
                </c:pt>
                <c:pt idx="16">
                  <c:v>254769.5</c:v>
                </c:pt>
                <c:pt idx="17">
                  <c:v>265591.75</c:v>
                </c:pt>
                <c:pt idx="18">
                  <c:v>285354.75</c:v>
                </c:pt>
                <c:pt idx="19">
                  <c:v>297714.75</c:v>
                </c:pt>
                <c:pt idx="20">
                  <c:v>323509.75</c:v>
                </c:pt>
              </c:numCache>
            </c:numRef>
          </c:val>
          <c:extLst>
            <c:ext xmlns:c16="http://schemas.microsoft.com/office/drawing/2014/chart" uri="{C3380CC4-5D6E-409C-BE32-E72D297353CC}">
              <c16:uniqueId val="{00000004-84C4-467E-9A9B-19D7EF875591}"/>
            </c:ext>
          </c:extLst>
        </c:ser>
        <c:dLbls>
          <c:showLegendKey val="0"/>
          <c:showVal val="0"/>
          <c:showCatName val="0"/>
          <c:showSerName val="0"/>
          <c:showPercent val="0"/>
          <c:showBubbleSize val="0"/>
        </c:dLbls>
        <c:gapWidth val="100"/>
        <c:overlap val="-27"/>
        <c:axId val="457433864"/>
        <c:axId val="457434256"/>
        <c:extLst>
          <c:ext xmlns:c15="http://schemas.microsoft.com/office/drawing/2012/chart" uri="{02D57815-91ED-43cb-92C2-25804820EDAC}">
            <c15:filteredBarSeries>
              <c15:ser>
                <c:idx val="0"/>
                <c:order val="0"/>
                <c:spPr>
                  <a:solidFill>
                    <a:schemeClr val="accent5">
                      <a:shade val="65000"/>
                    </a:schemeClr>
                  </a:solidFill>
                  <a:ln>
                    <a:noFill/>
                  </a:ln>
                  <a:effectLst/>
                </c:spPr>
                <c:invertIfNegative val="0"/>
                <c:cat>
                  <c:numRef>
                    <c:extLst>
                      <c:ext uri="{02D57815-91ED-43cb-92C2-25804820EDAC}">
                        <c15:formulaRef>
                          <c15:sqref>'3rd QTR County Data'!$B$159:$B$179</c15:sqref>
                        </c15:formulaRef>
                      </c:ext>
                    </c:extLst>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extLst>
                      <c:ext uri="{02D57815-91ED-43cb-92C2-25804820EDAC}">
                        <c15:formulaRef>
                          <c15:sqref>'3rd QTR County Data'!$B$159:$B$177</c15:sqref>
                        </c15:formulaRef>
                      </c:ext>
                    </c:extLst>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val>
                <c:extLst>
                  <c:ext xmlns:c16="http://schemas.microsoft.com/office/drawing/2014/chart" uri="{C3380CC4-5D6E-409C-BE32-E72D297353CC}">
                    <c16:uniqueId val="{00000005-84C4-467E-9A9B-19D7EF875591}"/>
                  </c:ext>
                </c:extLst>
              </c15:ser>
            </c15:filteredBarSeries>
            <c15:filteredBarSeries>
              <c15:ser>
                <c:idx val="1"/>
                <c:order val="1"/>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'3rd QTR County Data'!$B$159:$B$179</c15:sqref>
                        </c15:formulaRef>
                      </c:ext>
                    </c:extLst>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extLst xmlns:c15="http://schemas.microsoft.com/office/drawing/2012/chart">
                      <c:ext xmlns:c15="http://schemas.microsoft.com/office/drawing/2012/chart" uri="{02D57815-91ED-43cb-92C2-25804820EDAC}">
                        <c15:formulaRef>
                          <c15:sqref>'3rd QTR County Data'!$C$159:$C$177</c15:sqref>
                        </c15:formulaRef>
                      </c:ext>
                    </c:extLst>
                    <c:numCache>
                      <c:formatCode>_(* #,##0_);_(* \(#,##0\);_(* "-"??_);_(@_)</c:formatCode>
                      <c:ptCount val="19"/>
                      <c:pt idx="0">
                        <c:v>12599</c:v>
                      </c:pt>
                      <c:pt idx="1">
                        <c:v>13222</c:v>
                      </c:pt>
                      <c:pt idx="2">
                        <c:v>14081</c:v>
                      </c:pt>
                      <c:pt idx="3">
                        <c:v>14915</c:v>
                      </c:pt>
                      <c:pt idx="4">
                        <c:v>15566</c:v>
                      </c:pt>
                      <c:pt idx="5">
                        <c:v>16865</c:v>
                      </c:pt>
                      <c:pt idx="6">
                        <c:v>15803</c:v>
                      </c:pt>
                      <c:pt idx="7">
                        <c:v>13861</c:v>
                      </c:pt>
                      <c:pt idx="8">
                        <c:v>11240</c:v>
                      </c:pt>
                      <c:pt idx="9">
                        <c:v>11057</c:v>
                      </c:pt>
                      <c:pt idx="10">
                        <c:v>10310</c:v>
                      </c:pt>
                      <c:pt idx="11">
                        <c:v>10246</c:v>
                      </c:pt>
                      <c:pt idx="12">
                        <c:v>12721</c:v>
                      </c:pt>
                      <c:pt idx="13">
                        <c:v>14335</c:v>
                      </c:pt>
                      <c:pt idx="14">
                        <c:v>13714</c:v>
                      </c:pt>
                      <c:pt idx="15">
                        <c:v>15347</c:v>
                      </c:pt>
                      <c:pt idx="16">
                        <c:v>16324</c:v>
                      </c:pt>
                      <c:pt idx="17">
                        <c:v>16464</c:v>
                      </c:pt>
                      <c:pt idx="18">
                        <c:v>16409</c:v>
                      </c:pt>
                    </c:numCache>
                  </c:numRef>
                </c:val>
                <c:extLst xmlns:c15="http://schemas.microsoft.com/office/drawing/2012/chart">
                  <c:ext xmlns:c16="http://schemas.microsoft.com/office/drawing/2014/chart" uri="{C3380CC4-5D6E-409C-BE32-E72D297353CC}">
                    <c16:uniqueId val="{00000006-84C4-467E-9A9B-19D7EF875591}"/>
                  </c:ext>
                </c:extLst>
              </c15:ser>
            </c15:filteredBarSeries>
          </c:ext>
        </c:extLst>
      </c:barChart>
      <c:catAx>
        <c:axId val="45743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2760000" spcFirstLastPara="1" vertOverflow="ellipsis"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4256"/>
        <c:crosses val="autoZero"/>
        <c:auto val="1"/>
        <c:lblAlgn val="ctr"/>
        <c:lblOffset val="100"/>
        <c:noMultiLvlLbl val="0"/>
      </c:catAx>
      <c:valAx>
        <c:axId val="457434256"/>
        <c:scaling>
          <c:orientation val="minMax"/>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3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r>
              <a:rPr lang="en-US" sz="1100" b="1">
                <a:solidFill>
                  <a:sysClr val="windowText" lastClr="000000"/>
                </a:solidFill>
              </a:rPr>
              <a:t>7 County Sale Price (Through 3</a:t>
            </a:r>
            <a:r>
              <a:rPr lang="en-US" sz="1100" b="1" baseline="30000">
                <a:solidFill>
                  <a:sysClr val="windowText" lastClr="000000"/>
                </a:solidFill>
              </a:rPr>
              <a:t>rd</a:t>
            </a:r>
            <a:r>
              <a:rPr lang="en-US" sz="1100" b="1">
                <a:solidFill>
                  <a:sysClr val="windowText" lastClr="000000"/>
                </a:solidFill>
              </a:rPr>
              <a:t> Qtr)</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mn-lt"/>
              <a:ea typeface="+mn-ea"/>
              <a:cs typeface="+mn-cs"/>
            </a:defRPr>
          </a:pPr>
          <a:endParaRPr lang="en-US"/>
        </a:p>
      </c:txPr>
    </c:title>
    <c:autoTitleDeleted val="0"/>
    <c:plotArea>
      <c:layout/>
      <c:barChart>
        <c:barDir val="col"/>
        <c:grouping val="clustered"/>
        <c:varyColors val="0"/>
        <c:ser>
          <c:idx val="2"/>
          <c:order val="2"/>
          <c:tx>
            <c:strRef>
              <c:f>'3rd QTR County Data'!$D$263</c:f>
              <c:strCache>
                <c:ptCount val="1"/>
                <c:pt idx="0">
                  <c:v> Avg Sale Price </c:v>
                </c:pt>
              </c:strCache>
            </c:strRef>
          </c:tx>
          <c:spPr>
            <a:solidFill>
              <a:srgbClr val="97B9E0"/>
            </a:solidFill>
            <a:ln>
              <a:noFill/>
            </a:ln>
            <a:effectLst/>
          </c:spPr>
          <c:invertIfNegative val="0"/>
          <c:dPt>
            <c:idx val="6"/>
            <c:invertIfNegative val="0"/>
            <c:bubble3D val="0"/>
            <c:spPr>
              <a:solidFill>
                <a:srgbClr val="97B9E0"/>
              </a:solidFill>
              <a:ln>
                <a:noFill/>
              </a:ln>
              <a:effectLst/>
            </c:spPr>
            <c:extLst>
              <c:ext xmlns:c16="http://schemas.microsoft.com/office/drawing/2014/chart" uri="{C3380CC4-5D6E-409C-BE32-E72D297353CC}">
                <c16:uniqueId val="{00000001-53C1-4CE2-A263-45334817ADC0}"/>
              </c:ext>
            </c:extLst>
          </c:dPt>
          <c:dPt>
            <c:idx val="17"/>
            <c:invertIfNegative val="0"/>
            <c:bubble3D val="0"/>
            <c:spPr>
              <a:solidFill>
                <a:srgbClr val="97B9E0"/>
              </a:solidFill>
              <a:ln>
                <a:noFill/>
              </a:ln>
              <a:effectLst/>
            </c:spPr>
            <c:extLst>
              <c:ext xmlns:c16="http://schemas.microsoft.com/office/drawing/2014/chart" uri="{C3380CC4-5D6E-409C-BE32-E72D297353CC}">
                <c16:uniqueId val="{00000003-53C1-4CE2-A263-45334817ADC0}"/>
              </c:ext>
            </c:extLst>
          </c:dPt>
          <c:dLbls>
            <c:spPr>
              <a:noFill/>
              <a:ln>
                <a:noFill/>
              </a:ln>
              <a:effectLst/>
            </c:spPr>
            <c:txPr>
              <a:bodyPr rot="-5400000" spcFirstLastPara="1" vertOverflow="ellipsis" wrap="square" lIns="38100" tIns="19050" rIns="38100" bIns="19050" anchor="ctr" anchorCtr="0">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'3rd QTR County Data'!$B$159:$B$179</c:f>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f>'3rd QTR County Data'!$D$266:$D$286</c:f>
              <c:numCache>
                <c:formatCode>_("$"* #,##0_);_("$"* \(#,##0\);_("$"* "-"??_);_(@_)</c:formatCode>
                <c:ptCount val="21"/>
                <c:pt idx="0">
                  <c:v>165672.85714285713</c:v>
                </c:pt>
                <c:pt idx="1">
                  <c:v>173753</c:v>
                </c:pt>
                <c:pt idx="2">
                  <c:v>186249</c:v>
                </c:pt>
                <c:pt idx="3">
                  <c:v>198913.71428571429</c:v>
                </c:pt>
                <c:pt idx="4">
                  <c:v>216819.28571428571</c:v>
                </c:pt>
                <c:pt idx="5">
                  <c:v>231932.57142857142</c:v>
                </c:pt>
                <c:pt idx="6">
                  <c:v>244944.28571428571</c:v>
                </c:pt>
                <c:pt idx="7">
                  <c:v>246164</c:v>
                </c:pt>
                <c:pt idx="8">
                  <c:v>234529.57142857142</c:v>
                </c:pt>
                <c:pt idx="9">
                  <c:v>205776.14285714287</c:v>
                </c:pt>
                <c:pt idx="10">
                  <c:v>205559.28571428571</c:v>
                </c:pt>
                <c:pt idx="11">
                  <c:v>192680.85714285713</c:v>
                </c:pt>
                <c:pt idx="12">
                  <c:v>190716.28571428571</c:v>
                </c:pt>
                <c:pt idx="13">
                  <c:v>200092.42857142858</c:v>
                </c:pt>
                <c:pt idx="14">
                  <c:v>207900.85714285713</c:v>
                </c:pt>
                <c:pt idx="15">
                  <c:v>221152.42857142858</c:v>
                </c:pt>
                <c:pt idx="16">
                  <c:v>230926.28571428571</c:v>
                </c:pt>
                <c:pt idx="17">
                  <c:v>246301.14285714287</c:v>
                </c:pt>
                <c:pt idx="18">
                  <c:v>264816.14285714284</c:v>
                </c:pt>
                <c:pt idx="19">
                  <c:v>277172.42857142858</c:v>
                </c:pt>
                <c:pt idx="20">
                  <c:v>306317.85714285716</c:v>
                </c:pt>
              </c:numCache>
            </c:numRef>
          </c:val>
          <c:extLst>
            <c:ext xmlns:c16="http://schemas.microsoft.com/office/drawing/2014/chart" uri="{C3380CC4-5D6E-409C-BE32-E72D297353CC}">
              <c16:uniqueId val="{00000004-53C1-4CE2-A263-45334817ADC0}"/>
            </c:ext>
          </c:extLst>
        </c:ser>
        <c:dLbls>
          <c:showLegendKey val="0"/>
          <c:showVal val="0"/>
          <c:showCatName val="0"/>
          <c:showSerName val="0"/>
          <c:showPercent val="0"/>
          <c:showBubbleSize val="0"/>
        </c:dLbls>
        <c:gapWidth val="100"/>
        <c:overlap val="-27"/>
        <c:axId val="457433864"/>
        <c:axId val="457434256"/>
        <c:extLst>
          <c:ext xmlns:c15="http://schemas.microsoft.com/office/drawing/2012/chart" uri="{02D57815-91ED-43cb-92C2-25804820EDAC}">
            <c15:filteredBarSeries>
              <c15:ser>
                <c:idx val="0"/>
                <c:order val="0"/>
                <c:spPr>
                  <a:solidFill>
                    <a:schemeClr val="accent5">
                      <a:shade val="65000"/>
                    </a:schemeClr>
                  </a:solidFill>
                  <a:ln>
                    <a:noFill/>
                  </a:ln>
                  <a:effectLst/>
                </c:spPr>
                <c:invertIfNegative val="0"/>
                <c:cat>
                  <c:numRef>
                    <c:extLst>
                      <c:ext uri="{02D57815-91ED-43cb-92C2-25804820EDAC}">
                        <c15:formulaRef>
                          <c15:sqref>'3rd QTR County Data'!$B$159:$B$179</c15:sqref>
                        </c15:formulaRef>
                      </c:ext>
                    </c:extLst>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extLst>
                      <c:ext uri="{02D57815-91ED-43cb-92C2-25804820EDAC}">
                        <c15:formulaRef>
                          <c15:sqref>'3rd QTR County Data'!$B$159:$B$177</c15:sqref>
                        </c15:formulaRef>
                      </c:ext>
                    </c:extLst>
                    <c:numCache>
                      <c:formatCode>General</c:formatCode>
                      <c:ptCount val="19"/>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numCache>
                  </c:numRef>
                </c:val>
                <c:extLst>
                  <c:ext xmlns:c16="http://schemas.microsoft.com/office/drawing/2014/chart" uri="{C3380CC4-5D6E-409C-BE32-E72D297353CC}">
                    <c16:uniqueId val="{00000005-53C1-4CE2-A263-45334817ADC0}"/>
                  </c:ext>
                </c:extLst>
              </c15:ser>
            </c15:filteredBarSeries>
            <c15:filteredBarSeries>
              <c15:ser>
                <c:idx val="1"/>
                <c:order val="1"/>
                <c:spPr>
                  <a:solidFill>
                    <a:schemeClr val="accent5"/>
                  </a:solidFill>
                  <a:ln>
                    <a:noFill/>
                  </a:ln>
                  <a:effectLst/>
                </c:spPr>
                <c:invertIfNegative val="0"/>
                <c:cat>
                  <c:numRef>
                    <c:extLst xmlns:c15="http://schemas.microsoft.com/office/drawing/2012/chart">
                      <c:ext xmlns:c15="http://schemas.microsoft.com/office/drawing/2012/chart" uri="{02D57815-91ED-43cb-92C2-25804820EDAC}">
                        <c15:formulaRef>
                          <c15:sqref>'3rd QTR County Data'!$B$159:$B$179</c15:sqref>
                        </c15:formulaRef>
                      </c:ext>
                    </c:extLst>
                    <c:numCache>
                      <c:formatCode>General</c:formatCode>
                      <c:ptCount val="21"/>
                      <c:pt idx="0">
                        <c:v>2000</c:v>
                      </c:pt>
                      <c:pt idx="1">
                        <c:v>2001</c:v>
                      </c:pt>
                      <c:pt idx="2">
                        <c:v>2002</c:v>
                      </c:pt>
                      <c:pt idx="3">
                        <c:v>2003</c:v>
                      </c:pt>
                      <c:pt idx="4">
                        <c:v>2004</c:v>
                      </c:pt>
                      <c:pt idx="5">
                        <c:v>2005</c:v>
                      </c:pt>
                      <c:pt idx="6">
                        <c:v>2006</c:v>
                      </c:pt>
                      <c:pt idx="7">
                        <c:v>2007</c:v>
                      </c:pt>
                      <c:pt idx="8">
                        <c:v>2008</c:v>
                      </c:pt>
                      <c:pt idx="9">
                        <c:v>2009</c:v>
                      </c:pt>
                      <c:pt idx="10">
                        <c:v>2010</c:v>
                      </c:pt>
                      <c:pt idx="11">
                        <c:v>2011</c:v>
                      </c:pt>
                      <c:pt idx="12">
                        <c:v>2012</c:v>
                      </c:pt>
                      <c:pt idx="13">
                        <c:v>2013</c:v>
                      </c:pt>
                      <c:pt idx="14">
                        <c:v>2014</c:v>
                      </c:pt>
                      <c:pt idx="15">
                        <c:v>2015</c:v>
                      </c:pt>
                      <c:pt idx="16">
                        <c:v>2016</c:v>
                      </c:pt>
                      <c:pt idx="17">
                        <c:v>2017</c:v>
                      </c:pt>
                      <c:pt idx="18">
                        <c:v>2018</c:v>
                      </c:pt>
                      <c:pt idx="19">
                        <c:v>2019</c:v>
                      </c:pt>
                      <c:pt idx="20">
                        <c:v>2020</c:v>
                      </c:pt>
                    </c:numCache>
                  </c:numRef>
                </c:cat>
                <c:val>
                  <c:numRef>
                    <c:extLst xmlns:c15="http://schemas.microsoft.com/office/drawing/2012/chart">
                      <c:ext xmlns:c15="http://schemas.microsoft.com/office/drawing/2012/chart" uri="{02D57815-91ED-43cb-92C2-25804820EDAC}">
                        <c15:formulaRef>
                          <c15:sqref>'3rd QTR County Data'!$C$159:$C$177</c15:sqref>
                        </c15:formulaRef>
                      </c:ext>
                    </c:extLst>
                    <c:numCache>
                      <c:formatCode>_(* #,##0_);_(* \(#,##0\);_(* "-"??_);_(@_)</c:formatCode>
                      <c:ptCount val="19"/>
                      <c:pt idx="0">
                        <c:v>12599</c:v>
                      </c:pt>
                      <c:pt idx="1">
                        <c:v>13222</c:v>
                      </c:pt>
                      <c:pt idx="2">
                        <c:v>14081</c:v>
                      </c:pt>
                      <c:pt idx="3">
                        <c:v>14915</c:v>
                      </c:pt>
                      <c:pt idx="4">
                        <c:v>15566</c:v>
                      </c:pt>
                      <c:pt idx="5">
                        <c:v>16865</c:v>
                      </c:pt>
                      <c:pt idx="6">
                        <c:v>15803</c:v>
                      </c:pt>
                      <c:pt idx="7">
                        <c:v>13861</c:v>
                      </c:pt>
                      <c:pt idx="8">
                        <c:v>11240</c:v>
                      </c:pt>
                      <c:pt idx="9">
                        <c:v>11057</c:v>
                      </c:pt>
                      <c:pt idx="10">
                        <c:v>10310</c:v>
                      </c:pt>
                      <c:pt idx="11">
                        <c:v>10246</c:v>
                      </c:pt>
                      <c:pt idx="12">
                        <c:v>12721</c:v>
                      </c:pt>
                      <c:pt idx="13">
                        <c:v>14335</c:v>
                      </c:pt>
                      <c:pt idx="14">
                        <c:v>13714</c:v>
                      </c:pt>
                      <c:pt idx="15">
                        <c:v>15347</c:v>
                      </c:pt>
                      <c:pt idx="16">
                        <c:v>16324</c:v>
                      </c:pt>
                      <c:pt idx="17">
                        <c:v>16464</c:v>
                      </c:pt>
                      <c:pt idx="18">
                        <c:v>16409</c:v>
                      </c:pt>
                    </c:numCache>
                  </c:numRef>
                </c:val>
                <c:extLst xmlns:c15="http://schemas.microsoft.com/office/drawing/2012/chart">
                  <c:ext xmlns:c16="http://schemas.microsoft.com/office/drawing/2014/chart" uri="{C3380CC4-5D6E-409C-BE32-E72D297353CC}">
                    <c16:uniqueId val="{00000006-53C1-4CE2-A263-45334817ADC0}"/>
                  </c:ext>
                </c:extLst>
              </c15:ser>
            </c15:filteredBarSeries>
          </c:ext>
        </c:extLst>
      </c:barChart>
      <c:catAx>
        <c:axId val="4574338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4256"/>
        <c:crosses val="autoZero"/>
        <c:auto val="1"/>
        <c:lblAlgn val="ctr"/>
        <c:lblOffset val="100"/>
        <c:noMultiLvlLbl val="0"/>
      </c:catAx>
      <c:valAx>
        <c:axId val="457434256"/>
        <c:scaling>
          <c:orientation val="minMax"/>
          <c:max val="325000"/>
          <c:min val="0"/>
        </c:scaling>
        <c:delete val="0"/>
        <c:axPos val="l"/>
        <c:majorGridlines>
          <c:spPr>
            <a:ln w="9525" cap="flat" cmpd="sng" algn="ctr">
              <a:solidFill>
                <a:schemeClr val="tx1">
                  <a:lumMod val="15000"/>
                  <a:lumOff val="85000"/>
                </a:schemeClr>
              </a:solidFill>
              <a:round/>
            </a:ln>
            <a:effectLst/>
          </c:spPr>
        </c:majorGridlines>
        <c:numFmt formatCode="_(&quot;$&quot;* #,##0_);_(&quot;$&quot;* \(#,##0\);_(&quot;$&quot;*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4574338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r>
              <a:rPr lang="en-US" sz="1100" b="1">
                <a:solidFill>
                  <a:sysClr val="windowText" lastClr="000000"/>
                </a:solidFill>
              </a:rPr>
              <a:t>Inventory</a:t>
            </a:r>
            <a:r>
              <a:rPr lang="en-US">
                <a:solidFill>
                  <a:sysClr val="windowText" lastClr="000000"/>
                </a:solidFill>
              </a:rPr>
              <a:t> </a:t>
            </a:r>
            <a:r>
              <a:rPr lang="en-US" sz="900">
                <a:solidFill>
                  <a:sysClr val="windowText" lastClr="000000"/>
                </a:solidFill>
              </a:rPr>
              <a:t>(units left</a:t>
            </a:r>
            <a:r>
              <a:rPr lang="en-US" sz="900" baseline="0">
                <a:solidFill>
                  <a:sysClr val="windowText" lastClr="000000"/>
                </a:solidFill>
              </a:rPr>
              <a:t> side)</a:t>
            </a:r>
            <a:endParaRPr lang="en-US" sz="900">
              <a:solidFill>
                <a:sysClr val="windowText" lastClr="000000"/>
              </a:solidFill>
            </a:endParaRPr>
          </a:p>
        </c:rich>
      </c:tx>
      <c:layout>
        <c:manualLayout>
          <c:xMode val="edge"/>
          <c:yMode val="edge"/>
          <c:x val="0.3380089467360593"/>
          <c:y val="3.497265168530832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Calibri" panose="020F0502020204030204" pitchFamily="34" charset="0"/>
              <a:ea typeface="+mn-ea"/>
              <a:cs typeface="+mn-cs"/>
            </a:defRPr>
          </a:pPr>
          <a:endParaRPr lang="en-US"/>
        </a:p>
      </c:txPr>
    </c:title>
    <c:autoTitleDeleted val="0"/>
    <c:plotArea>
      <c:layout>
        <c:manualLayout>
          <c:layoutTarget val="inner"/>
          <c:xMode val="edge"/>
          <c:yMode val="edge"/>
          <c:x val="9.8977998681911913E-2"/>
          <c:y val="0.14728474319091048"/>
          <c:w val="0.83530976540300172"/>
          <c:h val="0.61226301362071822"/>
        </c:manualLayout>
      </c:layout>
      <c:areaChart>
        <c:grouping val="stacked"/>
        <c:varyColors val="0"/>
        <c:ser>
          <c:idx val="0"/>
          <c:order val="0"/>
          <c:tx>
            <c:strRef>
              <c:f>'Monthly Stats Data'!$A$139</c:f>
              <c:strCache>
                <c:ptCount val="1"/>
                <c:pt idx="0">
                  <c:v>Current Active (Net)</c:v>
                </c:pt>
              </c:strCache>
            </c:strRef>
          </c:tx>
          <c:spPr>
            <a:solidFill>
              <a:schemeClr val="accent5">
                <a:tint val="65000"/>
              </a:schemeClr>
            </a:solidFill>
            <a:ln>
              <a:noFill/>
            </a:ln>
            <a:effectLst/>
          </c:spPr>
          <c:cat>
            <c:strRef>
              <c:f>'Monthly Stats Data'!$B$137:$N$137</c:f>
              <c:strCache>
                <c:ptCount val="13"/>
                <c:pt idx="0">
                  <c:v>Sept</c:v>
                </c:pt>
                <c:pt idx="1">
                  <c:v>Oct</c:v>
                </c:pt>
                <c:pt idx="2">
                  <c:v>Nov</c:v>
                </c:pt>
                <c:pt idx="3">
                  <c:v>Dec</c:v>
                </c:pt>
                <c:pt idx="4">
                  <c:v>Jan</c:v>
                </c:pt>
                <c:pt idx="5">
                  <c:v>Feb</c:v>
                </c:pt>
                <c:pt idx="6">
                  <c:v>Mar</c:v>
                </c:pt>
                <c:pt idx="7">
                  <c:v>April</c:v>
                </c:pt>
                <c:pt idx="8">
                  <c:v>May</c:v>
                </c:pt>
                <c:pt idx="9">
                  <c:v>June</c:v>
                </c:pt>
                <c:pt idx="10">
                  <c:v>July</c:v>
                </c:pt>
                <c:pt idx="11">
                  <c:v>Aug</c:v>
                </c:pt>
                <c:pt idx="12">
                  <c:v>Sept</c:v>
                </c:pt>
              </c:strCache>
            </c:strRef>
          </c:cat>
          <c:val>
            <c:numRef>
              <c:f>'Monthly Stats Data'!$B$139:$N$139</c:f>
              <c:numCache>
                <c:formatCode>_(* #,##0_);_(* \(#,##0\);_(* "-"??_);_(@_)</c:formatCode>
                <c:ptCount val="13"/>
                <c:pt idx="0">
                  <c:v>4742</c:v>
                </c:pt>
                <c:pt idx="1">
                  <c:v>4711</c:v>
                </c:pt>
                <c:pt idx="2">
                  <c:v>4204</c:v>
                </c:pt>
                <c:pt idx="3">
                  <c:v>3530</c:v>
                </c:pt>
                <c:pt idx="4">
                  <c:v>3116</c:v>
                </c:pt>
                <c:pt idx="5">
                  <c:v>2791</c:v>
                </c:pt>
                <c:pt idx="6">
                  <c:v>3188</c:v>
                </c:pt>
                <c:pt idx="7">
                  <c:v>2790</c:v>
                </c:pt>
                <c:pt idx="8">
                  <c:v>2815</c:v>
                </c:pt>
                <c:pt idx="9">
                  <c:v>2901</c:v>
                </c:pt>
                <c:pt idx="10">
                  <c:v>2761</c:v>
                </c:pt>
                <c:pt idx="11">
                  <c:v>2900</c:v>
                </c:pt>
                <c:pt idx="12">
                  <c:v>2837</c:v>
                </c:pt>
              </c:numCache>
            </c:numRef>
          </c:val>
          <c:extLst>
            <c:ext xmlns:c16="http://schemas.microsoft.com/office/drawing/2014/chart" uri="{C3380CC4-5D6E-409C-BE32-E72D297353CC}">
              <c16:uniqueId val="{00000000-9C28-40EA-B97C-D9F5C331E301}"/>
            </c:ext>
          </c:extLst>
        </c:ser>
        <c:ser>
          <c:idx val="1"/>
          <c:order val="1"/>
          <c:tx>
            <c:strRef>
              <c:f>'Monthly Stats Data'!$A$140</c:f>
              <c:strCache>
                <c:ptCount val="1"/>
                <c:pt idx="0">
                  <c:v>Active With Offer</c:v>
                </c:pt>
              </c:strCache>
            </c:strRef>
          </c:tx>
          <c:spPr>
            <a:solidFill>
              <a:schemeClr val="accent5"/>
            </a:solidFill>
            <a:ln>
              <a:noFill/>
            </a:ln>
            <a:effectLst/>
          </c:spPr>
          <c:cat>
            <c:strRef>
              <c:f>'Monthly Stats Data'!$B$137:$N$137</c:f>
              <c:strCache>
                <c:ptCount val="13"/>
                <c:pt idx="0">
                  <c:v>Sept</c:v>
                </c:pt>
                <c:pt idx="1">
                  <c:v>Oct</c:v>
                </c:pt>
                <c:pt idx="2">
                  <c:v>Nov</c:v>
                </c:pt>
                <c:pt idx="3">
                  <c:v>Dec</c:v>
                </c:pt>
                <c:pt idx="4">
                  <c:v>Jan</c:v>
                </c:pt>
                <c:pt idx="5">
                  <c:v>Feb</c:v>
                </c:pt>
                <c:pt idx="6">
                  <c:v>Mar</c:v>
                </c:pt>
                <c:pt idx="7">
                  <c:v>April</c:v>
                </c:pt>
                <c:pt idx="8">
                  <c:v>May</c:v>
                </c:pt>
                <c:pt idx="9">
                  <c:v>June</c:v>
                </c:pt>
                <c:pt idx="10">
                  <c:v>July</c:v>
                </c:pt>
                <c:pt idx="11">
                  <c:v>Aug</c:v>
                </c:pt>
                <c:pt idx="12">
                  <c:v>Sept</c:v>
                </c:pt>
              </c:strCache>
            </c:strRef>
          </c:cat>
          <c:val>
            <c:numRef>
              <c:f>'Monthly Stats Data'!$B$140:$N$140</c:f>
              <c:numCache>
                <c:formatCode>_(* #,##0_);_(* \(#,##0\);_(* "-"??_);_(@_)</c:formatCode>
                <c:ptCount val="13"/>
                <c:pt idx="0">
                  <c:v>1958</c:v>
                </c:pt>
                <c:pt idx="1">
                  <c:v>1840</c:v>
                </c:pt>
                <c:pt idx="2">
                  <c:v>1440</c:v>
                </c:pt>
                <c:pt idx="3">
                  <c:v>1266</c:v>
                </c:pt>
                <c:pt idx="4">
                  <c:v>1636</c:v>
                </c:pt>
                <c:pt idx="5">
                  <c:v>2067</c:v>
                </c:pt>
                <c:pt idx="6">
                  <c:v>2006</c:v>
                </c:pt>
                <c:pt idx="7">
                  <c:v>2099</c:v>
                </c:pt>
                <c:pt idx="8">
                  <c:v>2610</c:v>
                </c:pt>
                <c:pt idx="9">
                  <c:v>2860</c:v>
                </c:pt>
                <c:pt idx="10">
                  <c:v>2937</c:v>
                </c:pt>
                <c:pt idx="11">
                  <c:v>2958</c:v>
                </c:pt>
                <c:pt idx="12">
                  <c:v>2821</c:v>
                </c:pt>
              </c:numCache>
            </c:numRef>
          </c:val>
          <c:extLst>
            <c:ext xmlns:c16="http://schemas.microsoft.com/office/drawing/2014/chart" uri="{C3380CC4-5D6E-409C-BE32-E72D297353CC}">
              <c16:uniqueId val="{00000001-9C28-40EA-B97C-D9F5C331E301}"/>
            </c:ext>
          </c:extLst>
        </c:ser>
        <c:dLbls>
          <c:showLegendKey val="0"/>
          <c:showVal val="0"/>
          <c:showCatName val="0"/>
          <c:showSerName val="0"/>
          <c:showPercent val="0"/>
          <c:showBubbleSize val="0"/>
        </c:dLbls>
        <c:axId val="205910536"/>
        <c:axId val="458226432"/>
      </c:areaChart>
      <c:lineChart>
        <c:grouping val="standard"/>
        <c:varyColors val="0"/>
        <c:ser>
          <c:idx val="2"/>
          <c:order val="2"/>
          <c:tx>
            <c:strRef>
              <c:f>'Monthly Stats Data'!$A$141</c:f>
              <c:strCache>
                <c:ptCount val="1"/>
                <c:pt idx="0">
                  <c:v>Mos of Inventory (right)</c:v>
                </c:pt>
              </c:strCache>
            </c:strRef>
          </c:tx>
          <c:spPr>
            <a:ln w="28575" cap="rnd">
              <a:solidFill>
                <a:schemeClr val="accent5">
                  <a:shade val="65000"/>
                </a:schemeClr>
              </a:solidFill>
              <a:round/>
            </a:ln>
            <a:effectLst/>
          </c:spPr>
          <c:marker>
            <c:symbol val="none"/>
          </c:marker>
          <c:cat>
            <c:strRef>
              <c:f>'Monthly Stats Data'!$B$137:$N$137</c:f>
              <c:strCache>
                <c:ptCount val="13"/>
                <c:pt idx="0">
                  <c:v>Sept</c:v>
                </c:pt>
                <c:pt idx="1">
                  <c:v>Oct</c:v>
                </c:pt>
                <c:pt idx="2">
                  <c:v>Nov</c:v>
                </c:pt>
                <c:pt idx="3">
                  <c:v>Dec</c:v>
                </c:pt>
                <c:pt idx="4">
                  <c:v>Jan</c:v>
                </c:pt>
                <c:pt idx="5">
                  <c:v>Feb</c:v>
                </c:pt>
                <c:pt idx="6">
                  <c:v>Mar</c:v>
                </c:pt>
                <c:pt idx="7">
                  <c:v>April</c:v>
                </c:pt>
                <c:pt idx="8">
                  <c:v>May</c:v>
                </c:pt>
                <c:pt idx="9">
                  <c:v>June</c:v>
                </c:pt>
                <c:pt idx="10">
                  <c:v>July</c:v>
                </c:pt>
                <c:pt idx="11">
                  <c:v>Aug</c:v>
                </c:pt>
                <c:pt idx="12">
                  <c:v>Sept</c:v>
                </c:pt>
              </c:strCache>
            </c:strRef>
          </c:cat>
          <c:val>
            <c:numRef>
              <c:f>'Monthly Stats Data'!$B$141:$N$141</c:f>
              <c:numCache>
                <c:formatCode>0.0</c:formatCode>
                <c:ptCount val="13"/>
                <c:pt idx="0">
                  <c:v>2.2999999999999998</c:v>
                </c:pt>
                <c:pt idx="1">
                  <c:v>2.1</c:v>
                </c:pt>
                <c:pt idx="2">
                  <c:v>1.9</c:v>
                </c:pt>
                <c:pt idx="3">
                  <c:v>1.5</c:v>
                </c:pt>
                <c:pt idx="4">
                  <c:v>1.4</c:v>
                </c:pt>
                <c:pt idx="5">
                  <c:v>1.3</c:v>
                </c:pt>
                <c:pt idx="6">
                  <c:v>1.5</c:v>
                </c:pt>
                <c:pt idx="7">
                  <c:v>1.4</c:v>
                </c:pt>
                <c:pt idx="8">
                  <c:v>1.3</c:v>
                </c:pt>
                <c:pt idx="9">
                  <c:v>1.3</c:v>
                </c:pt>
                <c:pt idx="10">
                  <c:v>1.3</c:v>
                </c:pt>
                <c:pt idx="11">
                  <c:v>1.3</c:v>
                </c:pt>
                <c:pt idx="12">
                  <c:v>1.4</c:v>
                </c:pt>
              </c:numCache>
            </c:numRef>
          </c:val>
          <c:smooth val="0"/>
          <c:extLst>
            <c:ext xmlns:c16="http://schemas.microsoft.com/office/drawing/2014/chart" uri="{C3380CC4-5D6E-409C-BE32-E72D297353CC}">
              <c16:uniqueId val="{00000002-9C28-40EA-B97C-D9F5C331E301}"/>
            </c:ext>
          </c:extLst>
        </c:ser>
        <c:dLbls>
          <c:showLegendKey val="0"/>
          <c:showVal val="0"/>
          <c:showCatName val="0"/>
          <c:showSerName val="0"/>
          <c:showPercent val="0"/>
          <c:showBubbleSize val="0"/>
        </c:dLbls>
        <c:marker val="1"/>
        <c:smooth val="0"/>
        <c:axId val="458226824"/>
        <c:axId val="458229176"/>
      </c:lineChart>
      <c:catAx>
        <c:axId val="205910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432"/>
        <c:crosses val="autoZero"/>
        <c:auto val="1"/>
        <c:lblAlgn val="ctr"/>
        <c:lblOffset val="100"/>
        <c:noMultiLvlLbl val="0"/>
      </c:catAx>
      <c:valAx>
        <c:axId val="458226432"/>
        <c:scaling>
          <c:orientation val="minMax"/>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205910536"/>
        <c:crosses val="autoZero"/>
        <c:crossBetween val="between"/>
      </c:valAx>
      <c:valAx>
        <c:axId val="458229176"/>
        <c:scaling>
          <c:orientation val="minMax"/>
        </c:scaling>
        <c:delete val="0"/>
        <c:axPos val="r"/>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crossAx val="458226824"/>
        <c:crosses val="max"/>
        <c:crossBetween val="between"/>
      </c:valAx>
      <c:catAx>
        <c:axId val="458226824"/>
        <c:scaling>
          <c:orientation val="minMax"/>
        </c:scaling>
        <c:delete val="1"/>
        <c:axPos val="b"/>
        <c:numFmt formatCode="General" sourceLinked="1"/>
        <c:majorTickMark val="out"/>
        <c:minorTickMark val="none"/>
        <c:tickLblPos val="nextTo"/>
        <c:crossAx val="458229176"/>
        <c:crosses val="autoZero"/>
        <c:auto val="1"/>
        <c:lblAlgn val="ctr"/>
        <c:lblOffset val="100"/>
        <c:noMultiLvlLbl val="0"/>
      </c:catAx>
      <c:spPr>
        <a:noFill/>
        <a:ln>
          <a:solidFill>
            <a:schemeClr val="tx2">
              <a:lumMod val="60000"/>
              <a:lumOff val="40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Calibri" panose="020F0502020204030204" pitchFamily="34" charset="0"/>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baseline="0">
          <a:latin typeface="Calibri" panose="020F050202020403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100" b="1">
                <a:solidFill>
                  <a:sysClr val="windowText" lastClr="000000"/>
                </a:solidFill>
              </a:rPr>
              <a:t>New Units Needed To Reach 6.0 Months</a:t>
            </a: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v>Current Listings</c:v>
          </c:tx>
          <c:spPr>
            <a:solidFill>
              <a:srgbClr val="5089BC"/>
            </a:solidFill>
            <a:ln>
              <a:noFill/>
            </a:ln>
            <a:effectLst/>
          </c:spPr>
          <c:invertIfNegative val="0"/>
          <c:dLbls>
            <c:spPr>
              <a:noFill/>
              <a:ln>
                <a:noFill/>
              </a:ln>
              <a:effectLst/>
            </c:spPr>
            <c:txPr>
              <a:bodyPr rot="-5400000" spcFirstLastPara="1" vertOverflow="overflow" horzOverflow="overflow" vert="horz" wrap="square" lIns="38100" tIns="0" rIns="38100" bIns="19050" anchor="ctr" anchorCtr="1">
                <a:spAutoFit/>
              </a:bodyPr>
              <a:lstStyle/>
              <a:p>
                <a:pPr>
                  <a:defRPr sz="900" b="0" i="0" u="none" strike="noStrike" kern="1200" baseline="0">
                    <a:solidFill>
                      <a:schemeClr val="bg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a:noFill/>
                  <a:ln>
                    <a:noFill/>
                  </a:ln>
                </c15:spPr>
                <c15:showLeaderLines val="1"/>
                <c15:leaderLines>
                  <c:spPr>
                    <a:ln w="9525" cap="flat" cmpd="sng" algn="ctr">
                      <a:solidFill>
                        <a:schemeClr val="tx1">
                          <a:lumMod val="35000"/>
                          <a:lumOff val="65000"/>
                        </a:schemeClr>
                      </a:solidFill>
                      <a:round/>
                    </a:ln>
                    <a:effectLst/>
                  </c:spPr>
                </c15:leaderLines>
              </c:ext>
            </c:extLst>
          </c:dLbls>
          <c:cat>
            <c:strRef>
              <c:f>'Monthly Stats Data'!$P$130:$P$138</c:f>
              <c:strCache>
                <c:ptCount val="9"/>
                <c:pt idx="0">
                  <c:v>Jan</c:v>
                </c:pt>
                <c:pt idx="1">
                  <c:v>Feb</c:v>
                </c:pt>
                <c:pt idx="2">
                  <c:v>Mar</c:v>
                </c:pt>
                <c:pt idx="3">
                  <c:v>Apr</c:v>
                </c:pt>
                <c:pt idx="4">
                  <c:v>May</c:v>
                </c:pt>
                <c:pt idx="5">
                  <c:v>Jun</c:v>
                </c:pt>
                <c:pt idx="6">
                  <c:v>Jul</c:v>
                </c:pt>
                <c:pt idx="7">
                  <c:v>Aug</c:v>
                </c:pt>
                <c:pt idx="8">
                  <c:v>Sep</c:v>
                </c:pt>
              </c:strCache>
            </c:strRef>
          </c:cat>
          <c:val>
            <c:numRef>
              <c:f>'Monthly Stats Data'!$Q$130:$Q$138</c:f>
              <c:numCache>
                <c:formatCode>_(* #,##0_);_(* \(#,##0\);_(* "-"??_);_(@_)</c:formatCode>
                <c:ptCount val="9"/>
                <c:pt idx="0">
                  <c:v>4752</c:v>
                </c:pt>
                <c:pt idx="1">
                  <c:v>4858</c:v>
                </c:pt>
                <c:pt idx="2">
                  <c:v>5194</c:v>
                </c:pt>
                <c:pt idx="3">
                  <c:v>4889</c:v>
                </c:pt>
                <c:pt idx="4">
                  <c:v>5425</c:v>
                </c:pt>
                <c:pt idx="5">
                  <c:v>5761</c:v>
                </c:pt>
                <c:pt idx="6">
                  <c:v>5698</c:v>
                </c:pt>
                <c:pt idx="7">
                  <c:v>5858</c:v>
                </c:pt>
                <c:pt idx="8">
                  <c:v>5658</c:v>
                </c:pt>
              </c:numCache>
            </c:numRef>
          </c:val>
          <c:extLst>
            <c:ext xmlns:c16="http://schemas.microsoft.com/office/drawing/2014/chart" uri="{C3380CC4-5D6E-409C-BE32-E72D297353CC}">
              <c16:uniqueId val="{00000000-B9B7-4C65-949E-CAB5D8E4E7CB}"/>
            </c:ext>
          </c:extLst>
        </c:ser>
        <c:ser>
          <c:idx val="3"/>
          <c:order val="1"/>
          <c:tx>
            <c:v>New Units Needed</c:v>
          </c:tx>
          <c:spPr>
            <a:solidFill>
              <a:srgbClr val="97B9E0"/>
            </a:solidFill>
            <a:ln>
              <a:noFill/>
            </a:ln>
            <a:effectLst/>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bg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'Monthly Stats Data'!$P$130:$P$138</c:f>
              <c:strCache>
                <c:ptCount val="9"/>
                <c:pt idx="0">
                  <c:v>Jan</c:v>
                </c:pt>
                <c:pt idx="1">
                  <c:v>Feb</c:v>
                </c:pt>
                <c:pt idx="2">
                  <c:v>Mar</c:v>
                </c:pt>
                <c:pt idx="3">
                  <c:v>Apr</c:v>
                </c:pt>
                <c:pt idx="4">
                  <c:v>May</c:v>
                </c:pt>
                <c:pt idx="5">
                  <c:v>Jun</c:v>
                </c:pt>
                <c:pt idx="6">
                  <c:v>Jul</c:v>
                </c:pt>
                <c:pt idx="7">
                  <c:v>Aug</c:v>
                </c:pt>
                <c:pt idx="8">
                  <c:v>Sep</c:v>
                </c:pt>
              </c:strCache>
            </c:strRef>
          </c:cat>
          <c:val>
            <c:numRef>
              <c:f>'Monthly Stats Data'!$T$130:$T$138</c:f>
              <c:numCache>
                <c:formatCode>_(* #,##0_);_(* \(#,##0\);_(* "-"??_);_(@_)</c:formatCode>
                <c:ptCount val="9"/>
                <c:pt idx="0">
                  <c:v>5590</c:v>
                </c:pt>
                <c:pt idx="1">
                  <c:v>5525</c:v>
                </c:pt>
                <c:pt idx="2">
                  <c:v>5220</c:v>
                </c:pt>
                <c:pt idx="3">
                  <c:v>5620</c:v>
                </c:pt>
                <c:pt idx="4">
                  <c:v>5000</c:v>
                </c:pt>
                <c:pt idx="5">
                  <c:v>4400</c:v>
                </c:pt>
                <c:pt idx="6">
                  <c:v>4310</c:v>
                </c:pt>
                <c:pt idx="7">
                  <c:v>4180</c:v>
                </c:pt>
                <c:pt idx="8">
                  <c:v>4450</c:v>
                </c:pt>
              </c:numCache>
            </c:numRef>
          </c:val>
          <c:extLst>
            <c:ext xmlns:c16="http://schemas.microsoft.com/office/drawing/2014/chart" uri="{C3380CC4-5D6E-409C-BE32-E72D297353CC}">
              <c16:uniqueId val="{00000001-B9B7-4C65-949E-CAB5D8E4E7CB}"/>
            </c:ext>
          </c:extLst>
        </c:ser>
        <c:dLbls>
          <c:showLegendKey val="0"/>
          <c:showVal val="0"/>
          <c:showCatName val="0"/>
          <c:showSerName val="0"/>
          <c:showPercent val="0"/>
          <c:showBubbleSize val="0"/>
        </c:dLbls>
        <c:gapWidth val="150"/>
        <c:overlap val="100"/>
        <c:axId val="1251891632"/>
        <c:axId val="1254153232"/>
      </c:barChart>
      <c:catAx>
        <c:axId val="1251891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4153232"/>
        <c:crosses val="autoZero"/>
        <c:auto val="1"/>
        <c:lblAlgn val="ctr"/>
        <c:lblOffset val="100"/>
        <c:noMultiLvlLbl val="0"/>
      </c:catAx>
      <c:valAx>
        <c:axId val="1254153232"/>
        <c:scaling>
          <c:orientation val="minMax"/>
          <c:max val="11000"/>
          <c:min val="0"/>
        </c:scaling>
        <c:delete val="0"/>
        <c:axPos val="l"/>
        <c:majorGridlines>
          <c:spPr>
            <a:ln w="9525" cap="flat" cmpd="sng" algn="ctr">
              <a:solidFill>
                <a:schemeClr val="tx1">
                  <a:lumMod val="15000"/>
                  <a:lumOff val="85000"/>
                </a:schemeClr>
              </a:solidFill>
              <a:round/>
            </a:ln>
            <a:effectLst/>
          </c:spPr>
        </c:majorGridlines>
        <c:numFmt formatCode="_(* #,##0_);_(* \(#,##0\);_(* &quot;-&quot;??_);_(@_)"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251891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colors4.xml><?xml version="1.0" encoding="utf-8"?>
<cs:colorStyle xmlns:cs="http://schemas.microsoft.com/office/drawing/2012/chartStyle" xmlns:a="http://schemas.openxmlformats.org/drawingml/2006/main" meth="withinLinear" id="18">
  <a:schemeClr val="accent5"/>
</cs:colorStyle>
</file>

<file path=word/charts/colors5.xml><?xml version="1.0" encoding="utf-8"?>
<cs:colorStyle xmlns:cs="http://schemas.microsoft.com/office/drawing/2012/chartStyle" xmlns:a="http://schemas.openxmlformats.org/drawingml/2006/main" meth="withinLinearReversed" id="25">
  <a:schemeClr val="accent5"/>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173863-2EC1-42AE-84BB-8616F4FBD678}">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326</TotalTime>
  <Pages>5</Pages>
  <Words>1181</Words>
  <Characters>6734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dc:creator>
  <cp:keywords/>
  <dc:description/>
  <cp:lastModifiedBy>Mike Ruzicka</cp:lastModifiedBy>
  <cp:revision>13</cp:revision>
  <cp:lastPrinted>2020-10-13T22:00:00Z</cp:lastPrinted>
  <dcterms:created xsi:type="dcterms:W3CDTF">2020-10-13T16:26:00Z</dcterms:created>
  <dcterms:modified xsi:type="dcterms:W3CDTF">2020-10-14T00:39:00Z</dcterms:modified>
</cp:coreProperties>
</file>