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FBFF" w14:textId="77777777"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8">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1813B3" w:rsidRPr="00A66F2A" w:rsidRDefault="001813B3" w:rsidP="001F5CBD">
                            <w:pPr>
                              <w:ind w:right="480" w:firstLine="720"/>
                              <w:rPr>
                                <w:b/>
                                <w:sz w:val="26"/>
                                <w:szCs w:val="26"/>
                              </w:rPr>
                            </w:pPr>
                            <w:r w:rsidRPr="00A66F2A">
                              <w:rPr>
                                <w:b/>
                                <w:sz w:val="26"/>
                                <w:szCs w:val="26"/>
                              </w:rPr>
                              <w:t>For Immediate Release</w:t>
                            </w:r>
                          </w:p>
                          <w:p w14:paraId="5C7CF5D6" w14:textId="77777777" w:rsidR="001813B3" w:rsidRPr="00A66F2A" w:rsidRDefault="001813B3" w:rsidP="001F5CBD">
                            <w:pPr>
                              <w:ind w:right="480" w:firstLine="720"/>
                              <w:rPr>
                                <w:sz w:val="26"/>
                                <w:szCs w:val="26"/>
                              </w:rPr>
                            </w:pPr>
                            <w:r w:rsidRPr="00A66F2A">
                              <w:rPr>
                                <w:sz w:val="26"/>
                                <w:szCs w:val="26"/>
                              </w:rPr>
                              <w:t>Contact:  Mike Ruzicka</w:t>
                            </w:r>
                          </w:p>
                          <w:p w14:paraId="40F00B14" w14:textId="77777777" w:rsidR="001813B3" w:rsidRPr="00A66F2A" w:rsidRDefault="001813B3" w:rsidP="001F5CBD">
                            <w:pPr>
                              <w:ind w:right="480" w:firstLine="720"/>
                              <w:rPr>
                                <w:sz w:val="26"/>
                                <w:szCs w:val="26"/>
                              </w:rPr>
                            </w:pPr>
                            <w:r w:rsidRPr="00A66F2A">
                              <w:rPr>
                                <w:sz w:val="26"/>
                                <w:szCs w:val="26"/>
                              </w:rPr>
                              <w:t>414.778.4929 or 414.870.1876</w:t>
                            </w:r>
                          </w:p>
                          <w:p w14:paraId="53E5CD2A" w14:textId="09B004E0" w:rsidR="001813B3" w:rsidRPr="001F5CBD" w:rsidRDefault="001813B3" w:rsidP="001F5CBD">
                            <w:pPr>
                              <w:ind w:firstLine="720"/>
                              <w:rPr>
                                <w:color w:val="FFFFFF" w:themeColor="background1"/>
                              </w:rPr>
                            </w:pPr>
                            <w:hyperlink r:id="rId9" w:history="1">
                              <w:r w:rsidRPr="003B327A">
                                <w:rPr>
                                  <w:rStyle w:val="Hyperlink"/>
                                  <w:color w:val="FFFFFF" w:themeColor="background1"/>
                                  <w:sz w:val="26"/>
                                  <w:szCs w:val="26"/>
                                </w:rPr>
                                <w:t>mike@gmar.</w:t>
                              </w:r>
                            </w:hyperlink>
                            <w:r>
                              <w:rPr>
                                <w:rStyle w:val="Hyperlink"/>
                                <w:color w:val="FFFFFF" w:themeColor="background1"/>
                                <w:sz w:val="26"/>
                                <w:szCs w:val="26"/>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14:paraId="111E8FBD" w14:textId="77777777" w:rsidR="001813B3" w:rsidRPr="00A66F2A" w:rsidRDefault="001813B3" w:rsidP="001F5CBD">
                      <w:pPr>
                        <w:ind w:right="480" w:firstLine="720"/>
                        <w:rPr>
                          <w:b/>
                          <w:sz w:val="26"/>
                          <w:szCs w:val="26"/>
                        </w:rPr>
                      </w:pPr>
                      <w:r w:rsidRPr="00A66F2A">
                        <w:rPr>
                          <w:b/>
                          <w:sz w:val="26"/>
                          <w:szCs w:val="26"/>
                        </w:rPr>
                        <w:t>For Immediate Release</w:t>
                      </w:r>
                    </w:p>
                    <w:p w14:paraId="5C7CF5D6" w14:textId="77777777" w:rsidR="001813B3" w:rsidRPr="00A66F2A" w:rsidRDefault="001813B3" w:rsidP="001F5CBD">
                      <w:pPr>
                        <w:ind w:right="480" w:firstLine="720"/>
                        <w:rPr>
                          <w:sz w:val="26"/>
                          <w:szCs w:val="26"/>
                        </w:rPr>
                      </w:pPr>
                      <w:r w:rsidRPr="00A66F2A">
                        <w:rPr>
                          <w:sz w:val="26"/>
                          <w:szCs w:val="26"/>
                        </w:rPr>
                        <w:t>Contact:  Mike Ruzicka</w:t>
                      </w:r>
                    </w:p>
                    <w:p w14:paraId="40F00B14" w14:textId="77777777" w:rsidR="001813B3" w:rsidRPr="00A66F2A" w:rsidRDefault="001813B3" w:rsidP="001F5CBD">
                      <w:pPr>
                        <w:ind w:right="480" w:firstLine="720"/>
                        <w:rPr>
                          <w:sz w:val="26"/>
                          <w:szCs w:val="26"/>
                        </w:rPr>
                      </w:pPr>
                      <w:r w:rsidRPr="00A66F2A">
                        <w:rPr>
                          <w:sz w:val="26"/>
                          <w:szCs w:val="26"/>
                        </w:rPr>
                        <w:t>414.778.4929 or 414.870.1876</w:t>
                      </w:r>
                    </w:p>
                    <w:p w14:paraId="53E5CD2A" w14:textId="09B004E0" w:rsidR="001813B3" w:rsidRPr="001F5CBD" w:rsidRDefault="001813B3" w:rsidP="001F5CBD">
                      <w:pPr>
                        <w:ind w:firstLine="720"/>
                        <w:rPr>
                          <w:color w:val="FFFFFF" w:themeColor="background1"/>
                        </w:rPr>
                      </w:pPr>
                      <w:hyperlink r:id="rId10" w:history="1">
                        <w:r w:rsidRPr="003B327A">
                          <w:rPr>
                            <w:rStyle w:val="Hyperlink"/>
                            <w:color w:val="FFFFFF" w:themeColor="background1"/>
                            <w:sz w:val="26"/>
                            <w:szCs w:val="26"/>
                          </w:rPr>
                          <w:t>mike@gmar.</w:t>
                        </w:r>
                      </w:hyperlink>
                      <w:r>
                        <w:rPr>
                          <w:rStyle w:val="Hyperlink"/>
                          <w:color w:val="FFFFFF" w:themeColor="background1"/>
                          <w:sz w:val="26"/>
                          <w:szCs w:val="26"/>
                        </w:rPr>
                        <w:t>com</w:t>
                      </w:r>
                    </w:p>
                  </w:txbxContent>
                </v:textbox>
              </v:shape>
            </w:pict>
          </mc:Fallback>
        </mc:AlternateContent>
      </w:r>
      <w:r w:rsidR="00127EF0">
        <w:rPr>
          <w:sz w:val="24"/>
          <w:szCs w:val="24"/>
        </w:rPr>
        <w:t xml:space="preserve"> </w:t>
      </w:r>
    </w:p>
    <w:p w14:paraId="33E945B2" w14:textId="38582120" w:rsidR="00127EF0" w:rsidRDefault="00127EF0" w:rsidP="00127EF0">
      <w:pPr>
        <w:rPr>
          <w:sz w:val="24"/>
          <w:szCs w:val="24"/>
        </w:rPr>
      </w:pPr>
    </w:p>
    <w:p w14:paraId="17239243" w14:textId="142ECE24"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56564CD4" w:rsidR="001F5CBD" w:rsidRDefault="001F5CBD" w:rsidP="00127EF0">
      <w:pPr>
        <w:spacing w:before="120" w:after="120"/>
        <w:ind w:left="-360" w:right="-360"/>
        <w:contextualSpacing/>
        <w:jc w:val="center"/>
        <w:rPr>
          <w:rFonts w:ascii="Arial Narrow" w:hAnsi="Arial Narrow"/>
          <w:b/>
          <w:bCs/>
          <w:sz w:val="56"/>
          <w:szCs w:val="56"/>
        </w:rPr>
      </w:pPr>
    </w:p>
    <w:p w14:paraId="1CB10AEE" w14:textId="7778E465" w:rsidR="001F5CBD" w:rsidRDefault="001F5CBD" w:rsidP="001F5CBD">
      <w:pPr>
        <w:spacing w:before="120" w:after="120"/>
        <w:ind w:left="-360" w:right="-360"/>
        <w:contextualSpacing/>
        <w:jc w:val="center"/>
        <w:rPr>
          <w:rFonts w:ascii="Arial Narrow" w:hAnsi="Arial Narrow"/>
          <w:b/>
          <w:bCs/>
          <w:sz w:val="56"/>
          <w:szCs w:val="56"/>
        </w:rPr>
      </w:pPr>
    </w:p>
    <w:p w14:paraId="3267D06C" w14:textId="20262D64" w:rsidR="00E5715D" w:rsidRDefault="00E5715D" w:rsidP="00E5715D">
      <w:pPr>
        <w:spacing w:before="120" w:after="120"/>
        <w:ind w:left="-360" w:right="-360"/>
        <w:contextualSpacing/>
        <w:jc w:val="center"/>
        <w:rPr>
          <w:rFonts w:ascii="Arial" w:hAnsi="Arial" w:cs="Arial"/>
          <w:b/>
          <w:bCs/>
          <w:sz w:val="64"/>
          <w:szCs w:val="64"/>
        </w:rPr>
      </w:pPr>
      <w:r>
        <w:rPr>
          <w:rFonts w:ascii="Arial" w:hAnsi="Arial" w:cs="Arial"/>
          <w:b/>
          <w:bCs/>
          <w:sz w:val="64"/>
          <w:szCs w:val="64"/>
        </w:rPr>
        <w:t>2020 Sales Highest Ever</w:t>
      </w:r>
    </w:p>
    <w:p w14:paraId="4EFD022F" w14:textId="606233BD" w:rsidR="00127EF0" w:rsidRPr="00A35390" w:rsidRDefault="00E5715D" w:rsidP="00E5715D">
      <w:pPr>
        <w:spacing w:before="120" w:after="120"/>
        <w:ind w:left="-360" w:right="-360"/>
        <w:contextualSpacing/>
        <w:jc w:val="center"/>
        <w:rPr>
          <w:rFonts w:ascii="Arial" w:hAnsi="Arial" w:cs="Arial"/>
          <w:b/>
          <w:bCs/>
          <w:sz w:val="64"/>
          <w:szCs w:val="64"/>
        </w:rPr>
      </w:pPr>
      <w:r>
        <w:rPr>
          <w:rFonts w:ascii="Arial" w:hAnsi="Arial" w:cs="Arial"/>
          <w:b/>
          <w:bCs/>
          <w:sz w:val="64"/>
          <w:szCs w:val="64"/>
        </w:rPr>
        <w:t>Dec</w:t>
      </w:r>
      <w:r w:rsidR="009A6291">
        <w:rPr>
          <w:rFonts w:ascii="Arial" w:hAnsi="Arial" w:cs="Arial"/>
          <w:b/>
          <w:bCs/>
          <w:sz w:val="64"/>
          <w:szCs w:val="64"/>
        </w:rPr>
        <w:t>.</w:t>
      </w:r>
      <w:r w:rsidR="00681DC8" w:rsidRPr="00A35390">
        <w:rPr>
          <w:rFonts w:ascii="Arial" w:hAnsi="Arial" w:cs="Arial"/>
          <w:b/>
          <w:bCs/>
          <w:sz w:val="64"/>
          <w:szCs w:val="64"/>
        </w:rPr>
        <w:t xml:space="preserve"> Home Sales </w:t>
      </w:r>
      <w:r w:rsidR="008C6F6A">
        <w:rPr>
          <w:rFonts w:ascii="Arial" w:hAnsi="Arial" w:cs="Arial"/>
          <w:b/>
          <w:bCs/>
          <w:sz w:val="64"/>
          <w:szCs w:val="64"/>
        </w:rPr>
        <w:t>Up</w:t>
      </w:r>
      <w:r w:rsidR="00681DC8" w:rsidRPr="00A35390">
        <w:rPr>
          <w:rFonts w:ascii="Arial" w:hAnsi="Arial" w:cs="Arial"/>
          <w:b/>
          <w:bCs/>
          <w:sz w:val="64"/>
          <w:szCs w:val="64"/>
        </w:rPr>
        <w:t xml:space="preserve"> </w:t>
      </w:r>
      <w:r w:rsidR="009A6291">
        <w:rPr>
          <w:rFonts w:ascii="Arial" w:hAnsi="Arial" w:cs="Arial"/>
          <w:b/>
          <w:bCs/>
          <w:sz w:val="64"/>
          <w:szCs w:val="64"/>
        </w:rPr>
        <w:t>2</w:t>
      </w:r>
      <w:r>
        <w:rPr>
          <w:rFonts w:ascii="Arial" w:hAnsi="Arial" w:cs="Arial"/>
          <w:b/>
          <w:bCs/>
          <w:sz w:val="64"/>
          <w:szCs w:val="64"/>
        </w:rPr>
        <w:t>5</w:t>
      </w:r>
      <w:r w:rsidR="009A6291">
        <w:rPr>
          <w:rFonts w:ascii="Arial" w:hAnsi="Arial" w:cs="Arial"/>
          <w:b/>
          <w:bCs/>
          <w:sz w:val="64"/>
          <w:szCs w:val="64"/>
        </w:rPr>
        <w:t>.</w:t>
      </w:r>
      <w:r>
        <w:rPr>
          <w:rFonts w:ascii="Arial" w:hAnsi="Arial" w:cs="Arial"/>
          <w:b/>
          <w:bCs/>
          <w:sz w:val="64"/>
          <w:szCs w:val="64"/>
        </w:rPr>
        <w:t>9</w:t>
      </w:r>
      <w:r w:rsidR="00681DC8" w:rsidRPr="00A35390">
        <w:rPr>
          <w:rFonts w:ascii="Arial" w:hAnsi="Arial" w:cs="Arial"/>
          <w:b/>
          <w:bCs/>
          <w:sz w:val="64"/>
          <w:szCs w:val="64"/>
        </w:rPr>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81"/>
      </w:tblGrid>
      <w:tr w:rsidR="00E302C4" w14:paraId="24B40EB5" w14:textId="77777777" w:rsidTr="00A139C9">
        <w:trPr>
          <w:trHeight w:val="477"/>
        </w:trPr>
        <w:tc>
          <w:tcPr>
            <w:tcW w:w="5081" w:type="dxa"/>
            <w:vAlign w:val="center"/>
          </w:tcPr>
          <w:p w14:paraId="1ED3215F" w14:textId="77777777" w:rsidR="00E302C4" w:rsidRPr="00656C73" w:rsidRDefault="00E302C4" w:rsidP="00E302C4">
            <w:pPr>
              <w:spacing w:before="120" w:after="120"/>
              <w:ind w:left="-115" w:right="-360"/>
              <w:contextualSpacing/>
              <w:rPr>
                <w:rFonts w:cstheme="minorHAnsi"/>
                <w:sz w:val="24"/>
                <w:szCs w:val="24"/>
              </w:rPr>
            </w:pPr>
            <w:r w:rsidRPr="00656C73">
              <w:rPr>
                <w:rFonts w:cstheme="minorHAnsi"/>
                <w:b/>
                <w:bCs/>
                <w:sz w:val="24"/>
                <w:szCs w:val="24"/>
              </w:rPr>
              <w:t>Market Highlights</w:t>
            </w:r>
          </w:p>
        </w:tc>
      </w:tr>
      <w:tr w:rsidR="00E302C4" w14:paraId="16998B52" w14:textId="77777777" w:rsidTr="00656C73">
        <w:trPr>
          <w:trHeight w:hRule="exact" w:val="386"/>
        </w:trPr>
        <w:tc>
          <w:tcPr>
            <w:tcW w:w="5081" w:type="dxa"/>
            <w:shd w:val="clear" w:color="auto" w:fill="auto"/>
            <w:vAlign w:val="center"/>
          </w:tcPr>
          <w:p w14:paraId="2AA4FD63" w14:textId="028E7D13" w:rsidR="00E302C4" w:rsidRPr="00577F84" w:rsidRDefault="00E5715D" w:rsidP="00DE613A">
            <w:pPr>
              <w:pStyle w:val="ListParagraph"/>
              <w:numPr>
                <w:ilvl w:val="0"/>
                <w:numId w:val="3"/>
              </w:numPr>
              <w:ind w:left="245" w:right="-360" w:hanging="245"/>
              <w:rPr>
                <w:sz w:val="24"/>
                <w:szCs w:val="24"/>
              </w:rPr>
            </w:pPr>
            <w:r>
              <w:rPr>
                <w:sz w:val="24"/>
                <w:szCs w:val="24"/>
              </w:rPr>
              <w:t>Despite COVID-19 Pandemic</w:t>
            </w:r>
            <w:r w:rsidR="00DA2DEC">
              <w:rPr>
                <w:sz w:val="24"/>
                <w:szCs w:val="24"/>
              </w:rPr>
              <w:t>,</w:t>
            </w:r>
            <w:r>
              <w:rPr>
                <w:sz w:val="24"/>
                <w:szCs w:val="24"/>
              </w:rPr>
              <w:t xml:space="preserve"> Market Skyrockets</w:t>
            </w:r>
          </w:p>
        </w:tc>
      </w:tr>
      <w:tr w:rsidR="00E302C4" w14:paraId="786D284B" w14:textId="77777777" w:rsidTr="00656C73">
        <w:trPr>
          <w:trHeight w:hRule="exact" w:val="386"/>
        </w:trPr>
        <w:tc>
          <w:tcPr>
            <w:tcW w:w="5081" w:type="dxa"/>
            <w:shd w:val="clear" w:color="auto" w:fill="auto"/>
            <w:vAlign w:val="center"/>
          </w:tcPr>
          <w:p w14:paraId="1B827FCA" w14:textId="0C3E03FA" w:rsidR="00E302C4" w:rsidRPr="00577F84" w:rsidRDefault="00E5715D" w:rsidP="00DE613A">
            <w:pPr>
              <w:pStyle w:val="ListParagraph"/>
              <w:numPr>
                <w:ilvl w:val="0"/>
                <w:numId w:val="3"/>
              </w:numPr>
              <w:ind w:left="245" w:right="-360" w:hanging="245"/>
              <w:rPr>
                <w:sz w:val="24"/>
                <w:szCs w:val="24"/>
              </w:rPr>
            </w:pPr>
            <w:r>
              <w:rPr>
                <w:sz w:val="24"/>
                <w:szCs w:val="24"/>
              </w:rPr>
              <w:t>Most Home Sales Ever Recorded</w:t>
            </w:r>
          </w:p>
        </w:tc>
      </w:tr>
      <w:tr w:rsidR="00E302C4" w14:paraId="07DD8276" w14:textId="77777777" w:rsidTr="00656C73">
        <w:trPr>
          <w:trHeight w:hRule="exact" w:val="386"/>
        </w:trPr>
        <w:tc>
          <w:tcPr>
            <w:tcW w:w="5081" w:type="dxa"/>
            <w:shd w:val="clear" w:color="auto" w:fill="auto"/>
            <w:vAlign w:val="center"/>
          </w:tcPr>
          <w:p w14:paraId="0EAFC321" w14:textId="2ED37E0C" w:rsidR="00E302C4" w:rsidRDefault="00E5715D" w:rsidP="00DE613A">
            <w:pPr>
              <w:pStyle w:val="ListParagraph"/>
              <w:numPr>
                <w:ilvl w:val="0"/>
                <w:numId w:val="3"/>
              </w:numPr>
              <w:ind w:left="245" w:right="-360" w:hanging="245"/>
              <w:rPr>
                <w:sz w:val="24"/>
                <w:szCs w:val="24"/>
              </w:rPr>
            </w:pPr>
            <w:r>
              <w:rPr>
                <w:sz w:val="24"/>
                <w:szCs w:val="24"/>
              </w:rPr>
              <w:t xml:space="preserve">Lack of Listings Continues </w:t>
            </w:r>
          </w:p>
        </w:tc>
      </w:tr>
    </w:tbl>
    <w:p w14:paraId="57E2A88E" w14:textId="0B4DA5C9" w:rsidR="00577F84" w:rsidRDefault="00577F84" w:rsidP="001F5CBD">
      <w:pPr>
        <w:spacing w:before="120" w:after="120"/>
        <w:ind w:left="-360" w:right="-360"/>
        <w:contextualSpacing/>
        <w:rPr>
          <w:b/>
          <w:bCs/>
          <w:sz w:val="24"/>
          <w:szCs w:val="24"/>
        </w:rPr>
      </w:pPr>
    </w:p>
    <w:p w14:paraId="2D693890" w14:textId="77777777" w:rsidR="00577F84" w:rsidRDefault="00577F84" w:rsidP="001F5CBD">
      <w:pPr>
        <w:spacing w:before="120" w:after="120"/>
        <w:ind w:left="-360" w:right="-360"/>
        <w:contextualSpacing/>
        <w:rPr>
          <w:b/>
          <w:bCs/>
          <w:sz w:val="24"/>
          <w:szCs w:val="24"/>
        </w:rPr>
      </w:pPr>
    </w:p>
    <w:p w14:paraId="38ABB225" w14:textId="49E6DA9E" w:rsidR="00577F84" w:rsidRDefault="00577F84" w:rsidP="001F5CBD">
      <w:pPr>
        <w:spacing w:before="120" w:after="120"/>
        <w:ind w:left="-360" w:right="-360"/>
        <w:contextualSpacing/>
        <w:rPr>
          <w:b/>
          <w:bCs/>
          <w:sz w:val="24"/>
          <w:szCs w:val="24"/>
        </w:rPr>
      </w:pPr>
    </w:p>
    <w:p w14:paraId="2DDE1A5F" w14:textId="057F487C" w:rsidR="00577F84" w:rsidRDefault="00577F84" w:rsidP="001F5CBD">
      <w:pPr>
        <w:spacing w:before="120" w:after="120"/>
        <w:ind w:left="-360" w:right="-360"/>
        <w:contextualSpacing/>
        <w:rPr>
          <w:b/>
          <w:bCs/>
          <w:sz w:val="24"/>
          <w:szCs w:val="24"/>
        </w:rPr>
      </w:pPr>
    </w:p>
    <w:p w14:paraId="3CA67BB0" w14:textId="35281FFA" w:rsidR="00577F84" w:rsidRDefault="00577F84" w:rsidP="001F5CBD">
      <w:pPr>
        <w:spacing w:before="120" w:after="120"/>
        <w:ind w:left="-360" w:right="-360"/>
        <w:contextualSpacing/>
        <w:rPr>
          <w:b/>
          <w:bCs/>
          <w:sz w:val="24"/>
          <w:szCs w:val="24"/>
        </w:rPr>
      </w:pPr>
    </w:p>
    <w:p w14:paraId="59E3EC39" w14:textId="29106778" w:rsidR="00E302C4" w:rsidRDefault="00E302C4" w:rsidP="001F5CBD">
      <w:pPr>
        <w:spacing w:before="120" w:after="120"/>
        <w:ind w:left="-360" w:right="-360"/>
        <w:contextualSpacing/>
        <w:rPr>
          <w:sz w:val="24"/>
          <w:szCs w:val="24"/>
        </w:rPr>
      </w:pPr>
    </w:p>
    <w:p w14:paraId="17EA2605" w14:textId="4ECEC9F6" w:rsidR="00E302C4" w:rsidRDefault="00E302C4" w:rsidP="001F5CBD">
      <w:pPr>
        <w:spacing w:before="120" w:after="120"/>
        <w:ind w:left="-360" w:right="-360"/>
        <w:contextualSpacing/>
        <w:rPr>
          <w:sz w:val="24"/>
          <w:szCs w:val="24"/>
        </w:rPr>
      </w:pPr>
    </w:p>
    <w:tbl>
      <w:tblPr>
        <w:tblpPr w:leftFromText="187" w:rightFromText="288" w:bottomFromText="115" w:vertAnchor="text" w:horzAnchor="margin" w:tblpX="-359" w:tblpY="663"/>
        <w:tblW w:w="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6"/>
        <w:gridCol w:w="919"/>
        <w:gridCol w:w="16"/>
        <w:gridCol w:w="813"/>
        <w:gridCol w:w="16"/>
        <w:gridCol w:w="1087"/>
        <w:gridCol w:w="15"/>
        <w:gridCol w:w="6"/>
      </w:tblGrid>
      <w:tr w:rsidR="00AE6343" w:rsidRPr="00162A57" w14:paraId="6D37A8D0" w14:textId="77777777" w:rsidTr="003B327A">
        <w:trPr>
          <w:gridAfter w:val="1"/>
          <w:wAfter w:w="6" w:type="dxa"/>
          <w:trHeight w:val="432"/>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hideMark/>
          </w:tcPr>
          <w:p w14:paraId="0CC14318" w14:textId="1320A050" w:rsidR="00AE6343" w:rsidRPr="00162A57" w:rsidRDefault="00E5715D" w:rsidP="003B327A">
            <w:pPr>
              <w:spacing w:line="252" w:lineRule="auto"/>
              <w:ind w:left="-108" w:right="85"/>
              <w:rPr>
                <w:rFonts w:cstheme="minorHAnsi"/>
                <w:b/>
              </w:rPr>
            </w:pPr>
            <w:r>
              <w:rPr>
                <w:rFonts w:cstheme="minorHAnsi"/>
                <w:b/>
              </w:rPr>
              <w:t>December</w:t>
            </w:r>
            <w:r w:rsidR="00AE6343" w:rsidRPr="00162A57">
              <w:rPr>
                <w:rFonts w:cstheme="minorHAnsi"/>
                <w:b/>
              </w:rPr>
              <w:t xml:space="preserve"> Sales</w:t>
            </w:r>
          </w:p>
        </w:tc>
      </w:tr>
      <w:tr w:rsidR="00AE6343" w:rsidRPr="00162A57" w14:paraId="2CF4AC7B" w14:textId="77777777" w:rsidTr="003B327A">
        <w:trPr>
          <w:gridAfter w:val="2"/>
          <w:wAfter w:w="22" w:type="dxa"/>
          <w:trHeight w:val="288"/>
        </w:trPr>
        <w:tc>
          <w:tcPr>
            <w:tcW w:w="1440" w:type="dxa"/>
            <w:tcBorders>
              <w:top w:val="nil"/>
              <w:left w:val="nil"/>
              <w:bottom w:val="nil"/>
              <w:right w:val="single" w:sz="12" w:space="0" w:color="FFFFFF"/>
            </w:tcBorders>
            <w:shd w:val="clear" w:color="auto" w:fill="1F4E79" w:themeFill="accent1" w:themeFillShade="80"/>
            <w:vAlign w:val="center"/>
            <w:hideMark/>
          </w:tcPr>
          <w:p w14:paraId="0B541D24" w14:textId="77777777" w:rsidR="00AE6343" w:rsidRPr="00162A57" w:rsidRDefault="00AE6343" w:rsidP="003B327A">
            <w:pPr>
              <w:ind w:left="175" w:right="100"/>
              <w:rPr>
                <w:rFonts w:cstheme="minorHAnsi"/>
                <w:b/>
                <w:color w:val="FFFFFF" w:themeColor="background1"/>
              </w:rPr>
            </w:pPr>
            <w:r w:rsidRPr="00162A57">
              <w:rPr>
                <w:rFonts w:cstheme="minorHAnsi"/>
                <w:b/>
                <w:color w:val="FFFFFF" w:themeColor="background1"/>
              </w:rPr>
              <w:t>County</w:t>
            </w:r>
          </w:p>
        </w:tc>
        <w:tc>
          <w:tcPr>
            <w:tcW w:w="935"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34EE9F02" w14:textId="5252103B" w:rsidR="00AE6343" w:rsidRPr="00162A57" w:rsidRDefault="00AE6343" w:rsidP="003B327A">
            <w:pPr>
              <w:spacing w:line="207" w:lineRule="atLeast"/>
              <w:ind w:left="44" w:right="62"/>
              <w:rPr>
                <w:rFonts w:cstheme="minorHAnsi"/>
                <w:color w:val="FFFFFF" w:themeColor="background1"/>
              </w:rPr>
            </w:pPr>
            <w:r w:rsidRPr="00162A57">
              <w:rPr>
                <w:rFonts w:cstheme="minorHAnsi"/>
                <w:color w:val="FFFFFF" w:themeColor="background1"/>
              </w:rPr>
              <w:t>201</w:t>
            </w:r>
            <w:r w:rsidR="00010A1A" w:rsidRPr="00162A57">
              <w:rPr>
                <w:rFonts w:cstheme="minorHAnsi"/>
                <w:color w:val="FFFFFF" w:themeColor="background1"/>
              </w:rPr>
              <w:t>9</w:t>
            </w:r>
          </w:p>
        </w:tc>
        <w:tc>
          <w:tcPr>
            <w:tcW w:w="8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4156DAA8" w14:textId="0870BAEE" w:rsidR="00AE6343" w:rsidRPr="00162A57" w:rsidRDefault="00AE6343" w:rsidP="003B327A">
            <w:pPr>
              <w:spacing w:line="207" w:lineRule="atLeast"/>
              <w:ind w:right="-23"/>
              <w:rPr>
                <w:rFonts w:cstheme="minorHAnsi"/>
                <w:color w:val="FFFFFF" w:themeColor="background1"/>
              </w:rPr>
            </w:pPr>
            <w:r w:rsidRPr="00162A57">
              <w:rPr>
                <w:rFonts w:cstheme="minorHAnsi"/>
                <w:color w:val="FFFFFF" w:themeColor="background1"/>
              </w:rPr>
              <w:t>20</w:t>
            </w:r>
            <w:r w:rsidR="00010A1A" w:rsidRPr="00162A57">
              <w:rPr>
                <w:rFonts w:cstheme="minorHAnsi"/>
                <w:color w:val="FFFFFF" w:themeColor="background1"/>
              </w:rPr>
              <w:t>20</w:t>
            </w:r>
          </w:p>
        </w:tc>
        <w:tc>
          <w:tcPr>
            <w:tcW w:w="1118" w:type="dxa"/>
            <w:gridSpan w:val="2"/>
            <w:tcBorders>
              <w:top w:val="nil"/>
              <w:left w:val="single" w:sz="12" w:space="0" w:color="FFFFFF"/>
              <w:bottom w:val="nil"/>
              <w:right w:val="nil"/>
            </w:tcBorders>
            <w:shd w:val="clear" w:color="auto" w:fill="1F4E79" w:themeFill="accent1" w:themeFillShade="80"/>
          </w:tcPr>
          <w:p w14:paraId="3C0F2B16" w14:textId="77777777" w:rsidR="00AE6343" w:rsidRPr="00162A57" w:rsidRDefault="00AE6343" w:rsidP="003B327A">
            <w:pPr>
              <w:ind w:left="89" w:right="90"/>
              <w:rPr>
                <w:rFonts w:cstheme="minorHAnsi"/>
                <w:color w:val="FFFFFF" w:themeColor="background1"/>
              </w:rPr>
            </w:pPr>
            <w:r w:rsidRPr="00162A57">
              <w:rPr>
                <w:rFonts w:cstheme="minorHAnsi"/>
                <w:color w:val="FFFFFF" w:themeColor="background1"/>
              </w:rPr>
              <w:t>% Change</w:t>
            </w:r>
          </w:p>
        </w:tc>
      </w:tr>
      <w:tr w:rsidR="00FB5F93" w:rsidRPr="00162A57" w14:paraId="3075A9C1" w14:textId="77777777" w:rsidTr="003B327A">
        <w:trPr>
          <w:gridAfter w:val="2"/>
          <w:wAfter w:w="22" w:type="dxa"/>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4189BB15" w14:textId="77777777" w:rsidR="00FB5F93" w:rsidRPr="00162A57" w:rsidRDefault="00FB5F93" w:rsidP="003B327A">
            <w:pPr>
              <w:spacing w:line="252" w:lineRule="auto"/>
              <w:ind w:left="62" w:right="100"/>
              <w:rPr>
                <w:rFonts w:cstheme="minorHAnsi"/>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5BDAEAA5" w14:textId="50D268F8" w:rsidR="00FB5F93" w:rsidRPr="00162A57" w:rsidRDefault="003F403D" w:rsidP="003B327A">
            <w:pPr>
              <w:spacing w:line="252" w:lineRule="auto"/>
              <w:ind w:left="44" w:right="62"/>
              <w:rPr>
                <w:rFonts w:cstheme="minorHAnsi"/>
              </w:rPr>
            </w:pPr>
            <w:r>
              <w:rPr>
                <w:rFonts w:cstheme="minorHAnsi"/>
              </w:rPr>
              <w:t>809</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7868A9DC" w14:textId="36380103" w:rsidR="00FB5F93" w:rsidRPr="00162A57" w:rsidRDefault="003F403D" w:rsidP="003B327A">
            <w:pPr>
              <w:spacing w:line="252" w:lineRule="auto"/>
              <w:ind w:right="-23"/>
              <w:rPr>
                <w:rFonts w:cstheme="minorHAnsi"/>
              </w:rPr>
            </w:pPr>
            <w:r>
              <w:rPr>
                <w:rFonts w:cstheme="minorHAnsi"/>
              </w:rPr>
              <w:t>1,067</w:t>
            </w:r>
          </w:p>
        </w:tc>
        <w:tc>
          <w:tcPr>
            <w:tcW w:w="1118" w:type="dxa"/>
            <w:gridSpan w:val="2"/>
            <w:tcBorders>
              <w:top w:val="nil"/>
              <w:left w:val="nil"/>
              <w:bottom w:val="nil"/>
              <w:right w:val="nil"/>
            </w:tcBorders>
            <w:shd w:val="clear" w:color="auto" w:fill="auto"/>
            <w:vAlign w:val="center"/>
          </w:tcPr>
          <w:p w14:paraId="624948AB" w14:textId="0AE9D016" w:rsidR="00FB5F93" w:rsidRPr="00162A57" w:rsidRDefault="003F403D" w:rsidP="003B327A">
            <w:pPr>
              <w:spacing w:line="252" w:lineRule="auto"/>
              <w:ind w:right="270"/>
              <w:jc w:val="right"/>
              <w:rPr>
                <w:rFonts w:cstheme="minorHAnsi"/>
              </w:rPr>
            </w:pPr>
            <w:r>
              <w:rPr>
                <w:rFonts w:cstheme="minorHAnsi"/>
              </w:rPr>
              <w:t>31.9%</w:t>
            </w:r>
          </w:p>
        </w:tc>
      </w:tr>
      <w:tr w:rsidR="00FB5F93" w:rsidRPr="00162A57" w14:paraId="11F2BC05" w14:textId="77777777" w:rsidTr="003B327A">
        <w:trPr>
          <w:gridAfter w:val="2"/>
          <w:wAfter w:w="22" w:type="dxa"/>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CFE1E97" w14:textId="77777777" w:rsidR="00FB5F93" w:rsidRPr="00162A57" w:rsidRDefault="00FB5F93" w:rsidP="003B327A">
            <w:pPr>
              <w:spacing w:line="252" w:lineRule="auto"/>
              <w:ind w:left="62"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BE859A7" w14:textId="60098FEB" w:rsidR="00FB5F93" w:rsidRPr="00162A57" w:rsidRDefault="003F403D" w:rsidP="003B327A">
            <w:pPr>
              <w:spacing w:line="252" w:lineRule="auto"/>
              <w:ind w:left="44" w:right="62"/>
              <w:rPr>
                <w:rFonts w:cstheme="minorHAnsi"/>
              </w:rPr>
            </w:pPr>
            <w:r>
              <w:rPr>
                <w:rFonts w:cstheme="minorHAnsi"/>
              </w:rPr>
              <w:t>385</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BC42A7F" w14:textId="11782C5F" w:rsidR="00FB5F93" w:rsidRPr="00162A57" w:rsidRDefault="003F403D" w:rsidP="003B327A">
            <w:pPr>
              <w:spacing w:line="252" w:lineRule="auto"/>
              <w:ind w:right="-23"/>
              <w:rPr>
                <w:rFonts w:cstheme="minorHAnsi"/>
              </w:rPr>
            </w:pPr>
            <w:r>
              <w:rPr>
                <w:rFonts w:cstheme="minorHAnsi"/>
              </w:rPr>
              <w:t>476</w:t>
            </w:r>
          </w:p>
        </w:tc>
        <w:tc>
          <w:tcPr>
            <w:tcW w:w="1118" w:type="dxa"/>
            <w:gridSpan w:val="2"/>
            <w:tcBorders>
              <w:top w:val="nil"/>
              <w:left w:val="nil"/>
              <w:bottom w:val="nil"/>
              <w:right w:val="nil"/>
            </w:tcBorders>
            <w:shd w:val="clear" w:color="auto" w:fill="DEEAF6" w:themeFill="accent1" w:themeFillTint="33"/>
            <w:vAlign w:val="center"/>
          </w:tcPr>
          <w:p w14:paraId="7F9F00E8" w14:textId="703E53C7" w:rsidR="00FB5F93" w:rsidRPr="00162A57" w:rsidRDefault="003F403D" w:rsidP="003B327A">
            <w:pPr>
              <w:spacing w:line="252" w:lineRule="auto"/>
              <w:ind w:right="270"/>
              <w:jc w:val="right"/>
              <w:rPr>
                <w:rFonts w:cstheme="minorHAnsi"/>
              </w:rPr>
            </w:pPr>
            <w:r>
              <w:rPr>
                <w:rFonts w:cstheme="minorHAnsi"/>
              </w:rPr>
              <w:t>23.6%</w:t>
            </w:r>
          </w:p>
        </w:tc>
      </w:tr>
      <w:tr w:rsidR="00FB5F93" w:rsidRPr="00162A57" w14:paraId="63CFF1FB" w14:textId="77777777" w:rsidTr="003B327A">
        <w:trPr>
          <w:gridAfter w:val="2"/>
          <w:wAfter w:w="22" w:type="dxa"/>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2823C97C" w14:textId="77777777" w:rsidR="00FB5F93" w:rsidRPr="00162A57" w:rsidRDefault="00FB5F93" w:rsidP="003B327A">
            <w:pPr>
              <w:spacing w:line="252" w:lineRule="auto"/>
              <w:ind w:left="62"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7FF56053" w14:textId="4A64289E" w:rsidR="00FB5F93" w:rsidRPr="00162A57" w:rsidRDefault="001D27D9" w:rsidP="003B327A">
            <w:pPr>
              <w:spacing w:line="252" w:lineRule="auto"/>
              <w:ind w:left="44" w:right="62"/>
              <w:rPr>
                <w:rFonts w:cstheme="minorHAnsi"/>
              </w:rPr>
            </w:pPr>
            <w:r>
              <w:rPr>
                <w:rFonts w:cstheme="minorHAnsi"/>
              </w:rPr>
              <w:t>161</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037D5EE5" w14:textId="63FF7213" w:rsidR="00FB5F93" w:rsidRPr="00162A57" w:rsidRDefault="001D27D9" w:rsidP="003B327A">
            <w:pPr>
              <w:spacing w:line="252" w:lineRule="auto"/>
              <w:ind w:right="-23"/>
              <w:rPr>
                <w:rFonts w:cstheme="minorHAnsi"/>
              </w:rPr>
            </w:pPr>
            <w:r>
              <w:rPr>
                <w:rFonts w:cstheme="minorHAnsi"/>
              </w:rPr>
              <w:t>173</w:t>
            </w:r>
          </w:p>
        </w:tc>
        <w:tc>
          <w:tcPr>
            <w:tcW w:w="1118" w:type="dxa"/>
            <w:gridSpan w:val="2"/>
            <w:tcBorders>
              <w:top w:val="nil"/>
              <w:left w:val="nil"/>
              <w:bottom w:val="nil"/>
              <w:right w:val="nil"/>
            </w:tcBorders>
            <w:shd w:val="clear" w:color="auto" w:fill="auto"/>
            <w:vAlign w:val="center"/>
          </w:tcPr>
          <w:p w14:paraId="7BAE2BB6" w14:textId="24540107" w:rsidR="00FB5F93" w:rsidRPr="00162A57" w:rsidRDefault="001D27D9" w:rsidP="003B327A">
            <w:pPr>
              <w:spacing w:line="252" w:lineRule="auto"/>
              <w:ind w:right="270"/>
              <w:jc w:val="right"/>
              <w:rPr>
                <w:rFonts w:cstheme="minorHAnsi"/>
              </w:rPr>
            </w:pPr>
            <w:r>
              <w:rPr>
                <w:rFonts w:cstheme="minorHAnsi"/>
              </w:rPr>
              <w:t>7.5</w:t>
            </w:r>
            <w:r w:rsidR="003F403D">
              <w:rPr>
                <w:rFonts w:cstheme="minorHAnsi"/>
              </w:rPr>
              <w:t>%</w:t>
            </w:r>
          </w:p>
        </w:tc>
      </w:tr>
      <w:tr w:rsidR="00FB5F93" w:rsidRPr="00162A57" w14:paraId="6C79A51B" w14:textId="77777777" w:rsidTr="003B327A">
        <w:trPr>
          <w:gridAfter w:val="2"/>
          <w:wAfter w:w="22" w:type="dxa"/>
          <w:trHeight w:val="288"/>
        </w:trPr>
        <w:tc>
          <w:tcPr>
            <w:tcW w:w="144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3B83169B" w14:textId="77777777" w:rsidR="00FB5F93" w:rsidRPr="00162A57" w:rsidRDefault="00FB5F93" w:rsidP="003B327A">
            <w:pPr>
              <w:spacing w:line="252" w:lineRule="auto"/>
              <w:ind w:left="62"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2F070BC8" w14:textId="42A62EB1" w:rsidR="00FB5F93" w:rsidRPr="00162A57" w:rsidRDefault="003F403D" w:rsidP="003B327A">
            <w:pPr>
              <w:spacing w:line="252" w:lineRule="auto"/>
              <w:ind w:left="44" w:right="62"/>
              <w:rPr>
                <w:rFonts w:cstheme="minorHAnsi"/>
              </w:rPr>
            </w:pPr>
            <w:r>
              <w:rPr>
                <w:rFonts w:cstheme="minorHAnsi"/>
              </w:rPr>
              <w:t>94</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3C5BB878" w14:textId="3440F7B8" w:rsidR="00FB5F93" w:rsidRPr="00162A57" w:rsidRDefault="003F403D" w:rsidP="003B327A">
            <w:pPr>
              <w:spacing w:line="252" w:lineRule="auto"/>
              <w:ind w:right="-23"/>
              <w:rPr>
                <w:rFonts w:cstheme="minorHAnsi"/>
              </w:rPr>
            </w:pPr>
            <w:r>
              <w:rPr>
                <w:rFonts w:cstheme="minorHAnsi"/>
              </w:rPr>
              <w:t>108</w:t>
            </w:r>
          </w:p>
        </w:tc>
        <w:tc>
          <w:tcPr>
            <w:tcW w:w="1118" w:type="dxa"/>
            <w:gridSpan w:val="2"/>
            <w:tcBorders>
              <w:top w:val="nil"/>
              <w:left w:val="nil"/>
              <w:bottom w:val="nil"/>
              <w:right w:val="nil"/>
            </w:tcBorders>
            <w:shd w:val="clear" w:color="auto" w:fill="DEEAF6" w:themeFill="accent1" w:themeFillTint="33"/>
            <w:vAlign w:val="center"/>
          </w:tcPr>
          <w:p w14:paraId="25C0B201" w14:textId="3F7EF857" w:rsidR="00FB5F93" w:rsidRPr="00162A57" w:rsidRDefault="003F403D" w:rsidP="003B327A">
            <w:pPr>
              <w:spacing w:line="252" w:lineRule="auto"/>
              <w:ind w:right="270"/>
              <w:jc w:val="right"/>
              <w:rPr>
                <w:rFonts w:cstheme="minorHAnsi"/>
              </w:rPr>
            </w:pPr>
            <w:r>
              <w:rPr>
                <w:rFonts w:cstheme="minorHAnsi"/>
              </w:rPr>
              <w:t>14.9%</w:t>
            </w:r>
          </w:p>
        </w:tc>
      </w:tr>
      <w:tr w:rsidR="00AE6343" w:rsidRPr="00162A57" w14:paraId="51C391E9" w14:textId="77777777" w:rsidTr="003B327A">
        <w:trPr>
          <w:gridAfter w:val="2"/>
          <w:wAfter w:w="22" w:type="dxa"/>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11BFE75C" w14:textId="17BAD946" w:rsidR="00AE6343" w:rsidRPr="00162A57" w:rsidRDefault="00D126F1" w:rsidP="003B327A">
            <w:pPr>
              <w:spacing w:line="252" w:lineRule="auto"/>
              <w:ind w:left="62" w:right="100"/>
              <w:rPr>
                <w:rFonts w:cstheme="minorHAnsi"/>
              </w:rPr>
            </w:pPr>
            <w:r w:rsidRPr="00162A57">
              <w:rPr>
                <w:rFonts w:cstheme="minorHAnsi"/>
              </w:rPr>
              <w:t xml:space="preserve">Metro </w:t>
            </w:r>
            <w:r w:rsidR="00AE6343" w:rsidRPr="00162A57">
              <w:rPr>
                <w:rFonts w:cstheme="minorHAnsi"/>
              </w:rPr>
              <w:t>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0A1B734A" w14:textId="6D14B5C6" w:rsidR="00AE6343" w:rsidRPr="00162A57" w:rsidRDefault="001D27D9" w:rsidP="003B327A">
            <w:pPr>
              <w:spacing w:line="252" w:lineRule="auto"/>
              <w:ind w:left="44" w:right="62"/>
              <w:rPr>
                <w:rFonts w:cstheme="minorHAnsi"/>
              </w:rPr>
            </w:pPr>
            <w:r>
              <w:rPr>
                <w:rFonts w:cstheme="minorHAnsi"/>
              </w:rPr>
              <w:t>1,449</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A22A091" w14:textId="50DA8E0B" w:rsidR="00AE6343" w:rsidRPr="00162A57" w:rsidRDefault="001D27D9" w:rsidP="003B327A">
            <w:pPr>
              <w:spacing w:line="252" w:lineRule="auto"/>
              <w:ind w:right="-23"/>
              <w:rPr>
                <w:rFonts w:cstheme="minorHAnsi"/>
              </w:rPr>
            </w:pPr>
            <w:r>
              <w:rPr>
                <w:rFonts w:cstheme="minorHAnsi"/>
              </w:rPr>
              <w:t>1,824</w:t>
            </w:r>
          </w:p>
        </w:tc>
        <w:tc>
          <w:tcPr>
            <w:tcW w:w="1118" w:type="dxa"/>
            <w:gridSpan w:val="2"/>
            <w:tcBorders>
              <w:top w:val="nil"/>
              <w:left w:val="nil"/>
              <w:bottom w:val="nil"/>
              <w:right w:val="nil"/>
            </w:tcBorders>
            <w:shd w:val="clear" w:color="auto" w:fill="auto"/>
            <w:vAlign w:val="center"/>
          </w:tcPr>
          <w:p w14:paraId="7D76CDD6" w14:textId="44601069" w:rsidR="00AE6343" w:rsidRPr="00162A57" w:rsidRDefault="001D27D9" w:rsidP="003B327A">
            <w:pPr>
              <w:spacing w:line="252" w:lineRule="auto"/>
              <w:ind w:right="270"/>
              <w:jc w:val="right"/>
              <w:rPr>
                <w:rFonts w:cstheme="minorHAnsi"/>
              </w:rPr>
            </w:pPr>
            <w:r>
              <w:rPr>
                <w:rFonts w:cstheme="minorHAnsi"/>
              </w:rPr>
              <w:t>25.9</w:t>
            </w:r>
            <w:r w:rsidR="003F403D">
              <w:rPr>
                <w:rFonts w:cstheme="minorHAnsi"/>
              </w:rPr>
              <w:t>%</w:t>
            </w:r>
          </w:p>
        </w:tc>
      </w:tr>
      <w:tr w:rsidR="001A5F8A" w:rsidRPr="00162A57" w14:paraId="590F9D57" w14:textId="77777777" w:rsidTr="003B327A">
        <w:trPr>
          <w:gridAfter w:val="1"/>
          <w:wAfter w:w="6" w:type="dxa"/>
          <w:trHeight w:val="80"/>
        </w:trPr>
        <w:tc>
          <w:tcPr>
            <w:tcW w:w="4338" w:type="dxa"/>
            <w:gridSpan w:val="8"/>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D8E5995" w14:textId="77777777" w:rsidR="001A5F8A" w:rsidRPr="00162A57" w:rsidRDefault="001A5F8A" w:rsidP="003B327A">
            <w:pPr>
              <w:spacing w:line="252" w:lineRule="auto"/>
              <w:ind w:right="270"/>
              <w:rPr>
                <w:rFonts w:cstheme="minorHAnsi"/>
                <w:sz w:val="10"/>
                <w:szCs w:val="10"/>
              </w:rPr>
            </w:pPr>
          </w:p>
        </w:tc>
      </w:tr>
      <w:tr w:rsidR="00FB5F93" w:rsidRPr="00162A57" w14:paraId="44B32B09" w14:textId="77777777" w:rsidTr="003B327A">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47140851" w14:textId="77777777" w:rsidR="00FB5F93" w:rsidRPr="00162A57" w:rsidRDefault="00FB5F93" w:rsidP="003B327A">
            <w:pPr>
              <w:spacing w:line="252" w:lineRule="auto"/>
              <w:ind w:left="62"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668FF2FA" w14:textId="6215A8C1" w:rsidR="00FB5F93" w:rsidRPr="00162A57" w:rsidRDefault="001D27D9" w:rsidP="003B327A">
            <w:pPr>
              <w:spacing w:line="252" w:lineRule="auto"/>
              <w:ind w:left="44" w:right="62"/>
              <w:rPr>
                <w:rFonts w:cstheme="minorHAnsi"/>
              </w:rPr>
            </w:pPr>
            <w:r>
              <w:rPr>
                <w:rFonts w:cstheme="minorHAnsi"/>
              </w:rPr>
              <w:t>216</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3B693BB5" w14:textId="6C29C96F" w:rsidR="00FB5F93" w:rsidRPr="00162A57" w:rsidRDefault="001D27D9" w:rsidP="003B327A">
            <w:pPr>
              <w:spacing w:line="252" w:lineRule="auto"/>
              <w:ind w:right="-23"/>
              <w:rPr>
                <w:rFonts w:cstheme="minorHAnsi"/>
              </w:rPr>
            </w:pPr>
            <w:r>
              <w:rPr>
                <w:rFonts w:cstheme="minorHAnsi"/>
              </w:rPr>
              <w:t>247</w:t>
            </w:r>
          </w:p>
        </w:tc>
        <w:tc>
          <w:tcPr>
            <w:tcW w:w="1124" w:type="dxa"/>
            <w:gridSpan w:val="3"/>
            <w:tcBorders>
              <w:top w:val="nil"/>
              <w:left w:val="nil"/>
              <w:bottom w:val="nil"/>
              <w:right w:val="nil"/>
            </w:tcBorders>
            <w:shd w:val="clear" w:color="auto" w:fill="auto"/>
            <w:vAlign w:val="center"/>
          </w:tcPr>
          <w:p w14:paraId="4F247541" w14:textId="1A57F164" w:rsidR="00FB5F93" w:rsidRPr="00162A57" w:rsidRDefault="001D27D9" w:rsidP="003B327A">
            <w:pPr>
              <w:spacing w:line="252" w:lineRule="auto"/>
              <w:ind w:right="270"/>
              <w:jc w:val="right"/>
              <w:rPr>
                <w:rFonts w:cstheme="minorHAnsi"/>
              </w:rPr>
            </w:pPr>
            <w:r>
              <w:rPr>
                <w:rFonts w:cstheme="minorHAnsi"/>
              </w:rPr>
              <w:t>14.4</w:t>
            </w:r>
            <w:r w:rsidR="003F403D">
              <w:rPr>
                <w:rFonts w:cstheme="minorHAnsi"/>
              </w:rPr>
              <w:t>%</w:t>
            </w:r>
          </w:p>
        </w:tc>
      </w:tr>
      <w:tr w:rsidR="00FB5F93" w:rsidRPr="00162A57" w14:paraId="33079932" w14:textId="77777777" w:rsidTr="003B327A">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886CBBE" w14:textId="77777777" w:rsidR="00FB5F93" w:rsidRPr="00162A57" w:rsidRDefault="00FB5F93" w:rsidP="003B327A">
            <w:pPr>
              <w:spacing w:line="252" w:lineRule="auto"/>
              <w:ind w:left="62"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642F8D6" w14:textId="69EDA0A1" w:rsidR="00FB5F93" w:rsidRPr="00162A57" w:rsidRDefault="001D27D9" w:rsidP="003B327A">
            <w:pPr>
              <w:spacing w:line="252" w:lineRule="auto"/>
              <w:ind w:left="44" w:right="62"/>
              <w:rPr>
                <w:rFonts w:cstheme="minorHAnsi"/>
              </w:rPr>
            </w:pPr>
            <w:r>
              <w:rPr>
                <w:rFonts w:cstheme="minorHAnsi"/>
              </w:rPr>
              <w:t>159</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2510826" w14:textId="2117FBA5" w:rsidR="00FB5F93" w:rsidRPr="00162A57" w:rsidRDefault="001D27D9" w:rsidP="003B327A">
            <w:pPr>
              <w:spacing w:line="252" w:lineRule="auto"/>
              <w:ind w:right="-23"/>
              <w:rPr>
                <w:rFonts w:cstheme="minorHAnsi"/>
              </w:rPr>
            </w:pPr>
            <w:r>
              <w:rPr>
                <w:rFonts w:cstheme="minorHAnsi"/>
              </w:rPr>
              <w:t>214</w:t>
            </w:r>
          </w:p>
        </w:tc>
        <w:tc>
          <w:tcPr>
            <w:tcW w:w="1124" w:type="dxa"/>
            <w:gridSpan w:val="3"/>
            <w:tcBorders>
              <w:top w:val="nil"/>
              <w:left w:val="nil"/>
              <w:bottom w:val="nil"/>
              <w:right w:val="nil"/>
            </w:tcBorders>
            <w:shd w:val="clear" w:color="auto" w:fill="DEEAF6" w:themeFill="accent1" w:themeFillTint="33"/>
            <w:vAlign w:val="center"/>
          </w:tcPr>
          <w:p w14:paraId="59B294E9" w14:textId="467137B3" w:rsidR="00FB5F93" w:rsidRPr="00162A57" w:rsidRDefault="001D27D9" w:rsidP="003B327A">
            <w:pPr>
              <w:spacing w:line="252" w:lineRule="auto"/>
              <w:ind w:right="270"/>
              <w:jc w:val="right"/>
              <w:rPr>
                <w:rFonts w:cstheme="minorHAnsi"/>
              </w:rPr>
            </w:pPr>
            <w:r>
              <w:rPr>
                <w:rFonts w:cstheme="minorHAnsi"/>
              </w:rPr>
              <w:t>34.6</w:t>
            </w:r>
            <w:r w:rsidR="003F403D">
              <w:rPr>
                <w:rFonts w:cstheme="minorHAnsi"/>
              </w:rPr>
              <w:t>%</w:t>
            </w:r>
          </w:p>
        </w:tc>
      </w:tr>
      <w:tr w:rsidR="00FB5F93" w:rsidRPr="00162A57" w14:paraId="74ECA7EF" w14:textId="77777777" w:rsidTr="003B327A">
        <w:trPr>
          <w:trHeight w:val="288"/>
        </w:trPr>
        <w:tc>
          <w:tcPr>
            <w:tcW w:w="1456"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458CD1E1" w14:textId="77777777" w:rsidR="00FB5F93" w:rsidRPr="00162A57" w:rsidRDefault="00FB5F93" w:rsidP="003B327A">
            <w:pPr>
              <w:spacing w:line="252" w:lineRule="auto"/>
              <w:ind w:left="62"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465C7FDA" w14:textId="5C4137FC" w:rsidR="00FB5F93" w:rsidRPr="00162A57" w:rsidRDefault="001D27D9" w:rsidP="003B327A">
            <w:pPr>
              <w:spacing w:line="252" w:lineRule="auto"/>
              <w:ind w:left="44" w:right="62"/>
              <w:rPr>
                <w:rFonts w:cstheme="minorHAnsi"/>
              </w:rPr>
            </w:pPr>
            <w:r>
              <w:rPr>
                <w:rFonts w:cstheme="minorHAnsi"/>
              </w:rPr>
              <w:t>115</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65A1A33D" w14:textId="42D8BCCF" w:rsidR="00FB5F93" w:rsidRPr="00162A57" w:rsidRDefault="001D27D9" w:rsidP="003B327A">
            <w:pPr>
              <w:spacing w:line="252" w:lineRule="auto"/>
              <w:ind w:right="-23"/>
              <w:rPr>
                <w:rFonts w:cstheme="minorHAnsi"/>
              </w:rPr>
            </w:pPr>
            <w:r>
              <w:rPr>
                <w:rFonts w:cstheme="minorHAnsi"/>
              </w:rPr>
              <w:t>158</w:t>
            </w:r>
          </w:p>
        </w:tc>
        <w:tc>
          <w:tcPr>
            <w:tcW w:w="1124" w:type="dxa"/>
            <w:gridSpan w:val="3"/>
            <w:tcBorders>
              <w:top w:val="nil"/>
              <w:left w:val="nil"/>
              <w:bottom w:val="nil"/>
              <w:right w:val="nil"/>
            </w:tcBorders>
            <w:shd w:val="clear" w:color="auto" w:fill="auto"/>
            <w:vAlign w:val="center"/>
          </w:tcPr>
          <w:p w14:paraId="05003B39" w14:textId="03821838" w:rsidR="00FB5F93" w:rsidRPr="00162A57" w:rsidRDefault="001D27D9" w:rsidP="003B327A">
            <w:pPr>
              <w:spacing w:line="252" w:lineRule="auto"/>
              <w:ind w:right="270"/>
              <w:jc w:val="right"/>
              <w:rPr>
                <w:rFonts w:cstheme="minorHAnsi"/>
              </w:rPr>
            </w:pPr>
            <w:r>
              <w:rPr>
                <w:rFonts w:cstheme="minorHAnsi"/>
              </w:rPr>
              <w:t>37.4</w:t>
            </w:r>
            <w:r w:rsidR="003F403D">
              <w:rPr>
                <w:rFonts w:cstheme="minorHAnsi"/>
              </w:rPr>
              <w:t>%</w:t>
            </w:r>
          </w:p>
        </w:tc>
      </w:tr>
      <w:tr w:rsidR="00AE6343" w:rsidRPr="00162A57" w14:paraId="44A28211" w14:textId="77777777" w:rsidTr="003B327A">
        <w:trPr>
          <w:trHeight w:val="288"/>
        </w:trPr>
        <w:tc>
          <w:tcPr>
            <w:tcW w:w="1456"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5F37ECD" w14:textId="396E955C" w:rsidR="00AE6343" w:rsidRPr="00162A57" w:rsidRDefault="0043444E" w:rsidP="003B327A">
            <w:pPr>
              <w:spacing w:line="252" w:lineRule="auto"/>
              <w:ind w:left="62" w:right="100"/>
              <w:rPr>
                <w:rFonts w:cstheme="minorHAnsi"/>
              </w:rPr>
            </w:pPr>
            <w:r w:rsidRPr="00162A57">
              <w:rPr>
                <w:rFonts w:cstheme="minorHAnsi"/>
              </w:rPr>
              <w:t>SE WI</w:t>
            </w:r>
            <w:r w:rsidR="00AE6343" w:rsidRPr="00162A57">
              <w:rPr>
                <w:rFonts w:cstheme="minorHAnsi"/>
              </w:rPr>
              <w:t xml:space="preserve">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954456E" w14:textId="31B38D4C" w:rsidR="00AE6343" w:rsidRPr="00162A57" w:rsidRDefault="001D27D9" w:rsidP="003B327A">
            <w:pPr>
              <w:spacing w:line="252" w:lineRule="auto"/>
              <w:ind w:left="44" w:right="62"/>
              <w:rPr>
                <w:rFonts w:cstheme="minorHAnsi"/>
              </w:rPr>
            </w:pPr>
            <w:r>
              <w:rPr>
                <w:rFonts w:cstheme="minorHAnsi"/>
              </w:rPr>
              <w:t>1,939</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0F86754" w14:textId="55786B3D" w:rsidR="00AE6343" w:rsidRPr="00162A57" w:rsidRDefault="001D27D9" w:rsidP="003B327A">
            <w:pPr>
              <w:spacing w:line="252" w:lineRule="auto"/>
              <w:ind w:right="-23"/>
              <w:rPr>
                <w:rFonts w:cstheme="minorHAnsi"/>
              </w:rPr>
            </w:pPr>
            <w:r>
              <w:rPr>
                <w:rFonts w:cstheme="minorHAnsi"/>
              </w:rPr>
              <w:t>2,443</w:t>
            </w:r>
          </w:p>
        </w:tc>
        <w:tc>
          <w:tcPr>
            <w:tcW w:w="1124" w:type="dxa"/>
            <w:gridSpan w:val="3"/>
            <w:tcBorders>
              <w:top w:val="nil"/>
              <w:left w:val="nil"/>
              <w:bottom w:val="nil"/>
              <w:right w:val="nil"/>
            </w:tcBorders>
            <w:shd w:val="clear" w:color="auto" w:fill="DEEAF6" w:themeFill="accent1" w:themeFillTint="33"/>
            <w:vAlign w:val="center"/>
          </w:tcPr>
          <w:p w14:paraId="24A0B73E" w14:textId="1B63DE12" w:rsidR="00AE6343" w:rsidRPr="00162A57" w:rsidRDefault="00966533" w:rsidP="003B327A">
            <w:pPr>
              <w:spacing w:line="252" w:lineRule="auto"/>
              <w:ind w:right="270"/>
              <w:jc w:val="right"/>
              <w:rPr>
                <w:rFonts w:cstheme="minorHAnsi"/>
              </w:rPr>
            </w:pPr>
            <w:r>
              <w:rPr>
                <w:rFonts w:cstheme="minorHAnsi"/>
              </w:rPr>
              <w:t>26.0</w:t>
            </w:r>
            <w:r w:rsidR="003F403D">
              <w:rPr>
                <w:rFonts w:cstheme="minorHAnsi"/>
              </w:rPr>
              <w:t>%</w:t>
            </w:r>
          </w:p>
        </w:tc>
      </w:tr>
      <w:tr w:rsidR="00450916" w:rsidRPr="00162A57" w14:paraId="7C9EAB4E" w14:textId="77777777" w:rsidTr="003B327A">
        <w:trPr>
          <w:gridAfter w:val="1"/>
          <w:wAfter w:w="6" w:type="dxa"/>
          <w:trHeight w:val="144"/>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tcPr>
          <w:p w14:paraId="41C6A46C" w14:textId="77777777" w:rsidR="00450916" w:rsidRPr="00162A57" w:rsidRDefault="00450916" w:rsidP="003B327A">
            <w:pPr>
              <w:spacing w:line="252" w:lineRule="auto"/>
              <w:ind w:right="270"/>
              <w:rPr>
                <w:rFonts w:cstheme="minorHAnsi"/>
                <w:sz w:val="20"/>
                <w:szCs w:val="20"/>
              </w:rPr>
            </w:pPr>
          </w:p>
        </w:tc>
      </w:tr>
      <w:tr w:rsidR="00450916" w:rsidRPr="00162A57" w14:paraId="4F6DF1D7" w14:textId="77777777" w:rsidTr="003B327A">
        <w:trPr>
          <w:gridAfter w:val="1"/>
          <w:wAfter w:w="6" w:type="dxa"/>
          <w:trHeight w:val="360"/>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tcPr>
          <w:p w14:paraId="72981516" w14:textId="764FB6A6" w:rsidR="00450916" w:rsidRPr="00162A57" w:rsidRDefault="003F403D" w:rsidP="003B327A">
            <w:pPr>
              <w:spacing w:line="252" w:lineRule="auto"/>
              <w:ind w:left="-105" w:right="270"/>
              <w:rPr>
                <w:rFonts w:cstheme="minorHAnsi"/>
              </w:rPr>
            </w:pPr>
            <w:r>
              <w:rPr>
                <w:rFonts w:cstheme="minorHAnsi"/>
                <w:b/>
              </w:rPr>
              <w:t xml:space="preserve">2020 </w:t>
            </w:r>
            <w:r w:rsidR="0055631D">
              <w:rPr>
                <w:rFonts w:cstheme="minorHAnsi"/>
                <w:b/>
              </w:rPr>
              <w:t>Sales</w:t>
            </w:r>
            <w:r w:rsidR="0031482E" w:rsidRPr="0031482E">
              <w:rPr>
                <w:rFonts w:cstheme="minorHAnsi"/>
                <w:bCs/>
              </w:rPr>
              <w:t>*</w:t>
            </w:r>
          </w:p>
        </w:tc>
      </w:tr>
      <w:tr w:rsidR="00450916" w:rsidRPr="00162A57" w14:paraId="7E9C6659" w14:textId="77777777" w:rsidTr="003B327A">
        <w:trPr>
          <w:trHeight w:val="288"/>
        </w:trPr>
        <w:tc>
          <w:tcPr>
            <w:tcW w:w="1456" w:type="dxa"/>
            <w:gridSpan w:val="2"/>
            <w:tcBorders>
              <w:top w:val="nil"/>
              <w:left w:val="nil"/>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4E7E0EA4" w14:textId="510F4D4E" w:rsidR="00450916" w:rsidRPr="00162A57" w:rsidRDefault="00450916" w:rsidP="003B327A">
            <w:pPr>
              <w:spacing w:line="252" w:lineRule="auto"/>
              <w:ind w:left="62" w:right="100"/>
              <w:rPr>
                <w:rFonts w:cstheme="minorHAnsi"/>
                <w:b/>
              </w:rPr>
            </w:pPr>
            <w:r w:rsidRPr="00162A57">
              <w:rPr>
                <w:rFonts w:cstheme="minorHAnsi"/>
                <w:b/>
                <w:color w:val="FFFFFF" w:themeColor="background1"/>
              </w:rPr>
              <w:t>County</w:t>
            </w:r>
          </w:p>
        </w:tc>
        <w:tc>
          <w:tcPr>
            <w:tcW w:w="935"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tcPr>
          <w:p w14:paraId="55048FDB" w14:textId="5315959B" w:rsidR="00450916" w:rsidRPr="00162A57" w:rsidRDefault="00450916" w:rsidP="003B327A">
            <w:pPr>
              <w:spacing w:line="252" w:lineRule="auto"/>
              <w:ind w:left="44" w:right="62"/>
              <w:rPr>
                <w:rFonts w:cstheme="minorHAnsi"/>
              </w:rPr>
            </w:pPr>
            <w:r w:rsidRPr="00162A57">
              <w:rPr>
                <w:rFonts w:cstheme="minorHAnsi"/>
                <w:color w:val="FFFFFF" w:themeColor="background1"/>
              </w:rPr>
              <w:t>2019</w:t>
            </w:r>
          </w:p>
        </w:tc>
        <w:tc>
          <w:tcPr>
            <w:tcW w:w="829"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tcPr>
          <w:p w14:paraId="2B0F9C14" w14:textId="7E194734" w:rsidR="00450916" w:rsidRPr="00162A57" w:rsidRDefault="00450916" w:rsidP="003B327A">
            <w:pPr>
              <w:spacing w:line="252" w:lineRule="auto"/>
              <w:ind w:right="-23"/>
              <w:rPr>
                <w:rFonts w:cstheme="minorHAnsi"/>
              </w:rPr>
            </w:pPr>
            <w:r w:rsidRPr="00162A57">
              <w:rPr>
                <w:rFonts w:cstheme="minorHAnsi"/>
                <w:color w:val="FFFFFF" w:themeColor="background1"/>
              </w:rPr>
              <w:t>2020</w:t>
            </w:r>
          </w:p>
        </w:tc>
        <w:tc>
          <w:tcPr>
            <w:tcW w:w="1124" w:type="dxa"/>
            <w:gridSpan w:val="3"/>
            <w:tcBorders>
              <w:top w:val="nil"/>
              <w:left w:val="single" w:sz="12" w:space="0" w:color="FFFFFF" w:themeColor="background1"/>
              <w:bottom w:val="nil"/>
              <w:right w:val="nil"/>
            </w:tcBorders>
            <w:shd w:val="clear" w:color="auto" w:fill="1F4E79" w:themeFill="accent1" w:themeFillShade="80"/>
            <w:vAlign w:val="center"/>
          </w:tcPr>
          <w:p w14:paraId="10E364BD" w14:textId="2ACD8550" w:rsidR="00450916" w:rsidRPr="00162A57" w:rsidRDefault="00450916" w:rsidP="003B327A">
            <w:pPr>
              <w:spacing w:line="252" w:lineRule="auto"/>
              <w:ind w:right="60"/>
              <w:jc w:val="center"/>
              <w:rPr>
                <w:rFonts w:cstheme="minorHAnsi"/>
              </w:rPr>
            </w:pPr>
            <w:r w:rsidRPr="00162A57">
              <w:rPr>
                <w:rFonts w:cstheme="minorHAnsi"/>
                <w:color w:val="FFFFFF" w:themeColor="background1"/>
              </w:rPr>
              <w:t>% Change</w:t>
            </w:r>
          </w:p>
        </w:tc>
      </w:tr>
      <w:tr w:rsidR="00EB49AC" w:rsidRPr="00162A57" w14:paraId="3AB0D9B3" w14:textId="77777777" w:rsidTr="003B327A">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415FD58D" w14:textId="2D9C8DC8" w:rsidR="00EB49AC" w:rsidRPr="00162A57" w:rsidRDefault="00EB49AC" w:rsidP="003B327A">
            <w:pPr>
              <w:spacing w:line="252" w:lineRule="auto"/>
              <w:ind w:left="62" w:right="100"/>
              <w:rPr>
                <w:rFonts w:cstheme="minorHAnsi"/>
                <w:b/>
                <w:color w:val="FFFFFF" w:themeColor="background1"/>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149050E6" w14:textId="101D778E" w:rsidR="00EB49AC" w:rsidRPr="003F403D" w:rsidRDefault="003F403D" w:rsidP="003B327A">
            <w:pPr>
              <w:spacing w:line="252" w:lineRule="auto"/>
              <w:ind w:left="44" w:right="62"/>
              <w:rPr>
                <w:rFonts w:cstheme="minorHAnsi"/>
              </w:rPr>
            </w:pPr>
            <w:r w:rsidRPr="003F403D">
              <w:rPr>
                <w:rFonts w:cstheme="minorHAnsi"/>
              </w:rPr>
              <w:t>11,</w:t>
            </w:r>
            <w:r w:rsidR="0080131C">
              <w:rPr>
                <w:rFonts w:cstheme="minorHAnsi"/>
              </w:rPr>
              <w:t>682</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7F7C56C0" w14:textId="7D8DA73F" w:rsidR="00EB49AC" w:rsidRPr="003F403D" w:rsidRDefault="003F403D" w:rsidP="003B327A">
            <w:pPr>
              <w:spacing w:line="252" w:lineRule="auto"/>
              <w:ind w:right="-23"/>
              <w:rPr>
                <w:rFonts w:cstheme="minorHAnsi"/>
              </w:rPr>
            </w:pPr>
            <w:r w:rsidRPr="003F403D">
              <w:rPr>
                <w:rFonts w:cstheme="minorHAnsi"/>
              </w:rPr>
              <w:t>12,</w:t>
            </w:r>
            <w:r w:rsidR="0080131C">
              <w:rPr>
                <w:rFonts w:cstheme="minorHAnsi"/>
              </w:rPr>
              <w:t>327</w:t>
            </w:r>
          </w:p>
        </w:tc>
        <w:tc>
          <w:tcPr>
            <w:tcW w:w="1124" w:type="dxa"/>
            <w:gridSpan w:val="3"/>
            <w:tcBorders>
              <w:top w:val="nil"/>
              <w:left w:val="nil"/>
              <w:bottom w:val="nil"/>
              <w:right w:val="nil"/>
            </w:tcBorders>
            <w:shd w:val="clear" w:color="auto" w:fill="auto"/>
            <w:vAlign w:val="center"/>
          </w:tcPr>
          <w:p w14:paraId="601903BA" w14:textId="0A047EB9" w:rsidR="00EB49AC" w:rsidRPr="003F403D" w:rsidRDefault="003F403D" w:rsidP="003B327A">
            <w:pPr>
              <w:spacing w:line="252" w:lineRule="auto"/>
              <w:ind w:right="270"/>
              <w:jc w:val="right"/>
              <w:rPr>
                <w:rFonts w:cstheme="minorHAnsi"/>
              </w:rPr>
            </w:pPr>
            <w:r>
              <w:rPr>
                <w:rFonts w:cstheme="minorHAnsi"/>
              </w:rPr>
              <w:t>5.</w:t>
            </w:r>
            <w:r w:rsidR="0080131C">
              <w:rPr>
                <w:rFonts w:cstheme="minorHAnsi"/>
              </w:rPr>
              <w:t>5</w:t>
            </w:r>
            <w:r>
              <w:rPr>
                <w:rFonts w:cstheme="minorHAnsi"/>
              </w:rPr>
              <w:t>%</w:t>
            </w:r>
          </w:p>
        </w:tc>
      </w:tr>
      <w:tr w:rsidR="00EB49AC" w:rsidRPr="00162A57" w14:paraId="36D693C6" w14:textId="77777777" w:rsidTr="003B327A">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9CB8531" w14:textId="60EFD6AA" w:rsidR="00EB49AC" w:rsidRPr="00162A57" w:rsidRDefault="00EB49AC" w:rsidP="003B327A">
            <w:pPr>
              <w:spacing w:line="252" w:lineRule="auto"/>
              <w:ind w:left="62"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C18C9C" w14:textId="1A442777" w:rsidR="00EB49AC" w:rsidRPr="00162A57" w:rsidRDefault="0080131C" w:rsidP="003B327A">
            <w:pPr>
              <w:spacing w:line="252" w:lineRule="auto"/>
              <w:ind w:left="44" w:right="62"/>
              <w:rPr>
                <w:rFonts w:cstheme="minorHAnsi"/>
              </w:rPr>
            </w:pPr>
            <w:r>
              <w:rPr>
                <w:rFonts w:cstheme="minorHAnsi"/>
              </w:rPr>
              <w:t>6</w:t>
            </w:r>
            <w:r w:rsidR="003F403D">
              <w:rPr>
                <w:rFonts w:cstheme="minorHAnsi"/>
              </w:rPr>
              <w:t>,</w:t>
            </w:r>
            <w:r>
              <w:rPr>
                <w:rFonts w:cstheme="minorHAnsi"/>
              </w:rPr>
              <w:t>035</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F3BEE0C" w14:textId="6EFE8D2B" w:rsidR="00EB49AC" w:rsidRPr="00162A57" w:rsidRDefault="003F403D" w:rsidP="003B327A">
            <w:pPr>
              <w:spacing w:line="252" w:lineRule="auto"/>
              <w:ind w:right="-23"/>
              <w:rPr>
                <w:rFonts w:cstheme="minorHAnsi"/>
              </w:rPr>
            </w:pPr>
            <w:r>
              <w:rPr>
                <w:rFonts w:cstheme="minorHAnsi"/>
              </w:rPr>
              <w:t>6,</w:t>
            </w:r>
            <w:r w:rsidR="0080131C">
              <w:rPr>
                <w:rFonts w:cstheme="minorHAnsi"/>
              </w:rPr>
              <w:t>445</w:t>
            </w:r>
          </w:p>
        </w:tc>
        <w:tc>
          <w:tcPr>
            <w:tcW w:w="1124" w:type="dxa"/>
            <w:gridSpan w:val="3"/>
            <w:tcBorders>
              <w:top w:val="nil"/>
              <w:left w:val="nil"/>
              <w:bottom w:val="nil"/>
              <w:right w:val="nil"/>
            </w:tcBorders>
            <w:shd w:val="clear" w:color="auto" w:fill="DEEAF6" w:themeFill="accent1" w:themeFillTint="33"/>
            <w:vAlign w:val="center"/>
          </w:tcPr>
          <w:p w14:paraId="1928371A" w14:textId="18C1EBF4" w:rsidR="00EB49AC" w:rsidRPr="003F403D" w:rsidRDefault="003F403D" w:rsidP="003B327A">
            <w:pPr>
              <w:spacing w:line="252" w:lineRule="auto"/>
              <w:ind w:right="270"/>
              <w:jc w:val="right"/>
              <w:rPr>
                <w:rFonts w:cstheme="minorHAnsi"/>
              </w:rPr>
            </w:pPr>
            <w:r>
              <w:rPr>
                <w:rFonts w:cstheme="minorHAnsi"/>
              </w:rPr>
              <w:t>6.</w:t>
            </w:r>
            <w:r w:rsidR="0080131C">
              <w:rPr>
                <w:rFonts w:cstheme="minorHAnsi"/>
              </w:rPr>
              <w:t>8</w:t>
            </w:r>
            <w:r>
              <w:rPr>
                <w:rFonts w:cstheme="minorHAnsi"/>
              </w:rPr>
              <w:t>%</w:t>
            </w:r>
          </w:p>
        </w:tc>
      </w:tr>
      <w:tr w:rsidR="00EB49AC" w:rsidRPr="00162A57" w14:paraId="2B50F894" w14:textId="77777777" w:rsidTr="003B327A">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768D8ACB" w14:textId="5C5D1171" w:rsidR="00EB49AC" w:rsidRPr="00162A57" w:rsidRDefault="00EB49AC" w:rsidP="003B327A">
            <w:pPr>
              <w:spacing w:line="252" w:lineRule="auto"/>
              <w:ind w:left="62"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2F128063" w14:textId="7C367130" w:rsidR="00EB49AC" w:rsidRPr="00162A57" w:rsidRDefault="001D27D9" w:rsidP="003B327A">
            <w:pPr>
              <w:spacing w:line="252" w:lineRule="auto"/>
              <w:ind w:left="44" w:right="62"/>
              <w:rPr>
                <w:rFonts w:cstheme="minorHAnsi"/>
              </w:rPr>
            </w:pPr>
            <w:r>
              <w:rPr>
                <w:rFonts w:cstheme="minorHAnsi"/>
              </w:rPr>
              <w:t>2,0</w:t>
            </w:r>
            <w:r w:rsidR="0080131C">
              <w:rPr>
                <w:rFonts w:cstheme="minorHAnsi"/>
              </w:rPr>
              <w:t>56</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73D42C81" w14:textId="48381E43" w:rsidR="00EB49AC" w:rsidRPr="00162A57" w:rsidRDefault="001D27D9" w:rsidP="003B327A">
            <w:pPr>
              <w:spacing w:line="252" w:lineRule="auto"/>
              <w:ind w:right="-23"/>
              <w:rPr>
                <w:rFonts w:cstheme="minorHAnsi"/>
              </w:rPr>
            </w:pPr>
            <w:r>
              <w:rPr>
                <w:rFonts w:cstheme="minorHAnsi"/>
              </w:rPr>
              <w:t>2,1</w:t>
            </w:r>
            <w:r w:rsidR="0080131C">
              <w:rPr>
                <w:rFonts w:cstheme="minorHAnsi"/>
              </w:rPr>
              <w:t>73</w:t>
            </w:r>
          </w:p>
        </w:tc>
        <w:tc>
          <w:tcPr>
            <w:tcW w:w="1124" w:type="dxa"/>
            <w:gridSpan w:val="3"/>
            <w:tcBorders>
              <w:top w:val="nil"/>
              <w:left w:val="nil"/>
              <w:bottom w:val="nil"/>
              <w:right w:val="nil"/>
            </w:tcBorders>
            <w:shd w:val="clear" w:color="auto" w:fill="auto"/>
            <w:vAlign w:val="center"/>
          </w:tcPr>
          <w:p w14:paraId="2DBC4933" w14:textId="14539C0C" w:rsidR="00EB49AC" w:rsidRPr="003F403D" w:rsidRDefault="0080131C" w:rsidP="003B327A">
            <w:pPr>
              <w:spacing w:line="252" w:lineRule="auto"/>
              <w:ind w:right="270"/>
              <w:jc w:val="right"/>
              <w:rPr>
                <w:rFonts w:cstheme="minorHAnsi"/>
              </w:rPr>
            </w:pPr>
            <w:r>
              <w:rPr>
                <w:rFonts w:cstheme="minorHAnsi"/>
              </w:rPr>
              <w:t>5.7</w:t>
            </w:r>
            <w:r w:rsidR="003F403D">
              <w:rPr>
                <w:rFonts w:cstheme="minorHAnsi"/>
              </w:rPr>
              <w:t>%</w:t>
            </w:r>
          </w:p>
        </w:tc>
      </w:tr>
      <w:tr w:rsidR="00EB49AC" w:rsidRPr="00162A57" w14:paraId="1FA9B4EA" w14:textId="77777777" w:rsidTr="003B327A">
        <w:trPr>
          <w:trHeight w:val="288"/>
        </w:trPr>
        <w:tc>
          <w:tcPr>
            <w:tcW w:w="1456"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5C93C530" w14:textId="4C8E4A47" w:rsidR="00EB49AC" w:rsidRPr="00162A57" w:rsidRDefault="00EB49AC" w:rsidP="003B327A">
            <w:pPr>
              <w:spacing w:line="252" w:lineRule="auto"/>
              <w:ind w:left="62"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2C00B561" w14:textId="066B3DD9" w:rsidR="00EB49AC" w:rsidRPr="00162A57" w:rsidRDefault="003F403D" w:rsidP="003B327A">
            <w:pPr>
              <w:spacing w:line="252" w:lineRule="auto"/>
              <w:ind w:left="44" w:right="62"/>
              <w:rPr>
                <w:rFonts w:cstheme="minorHAnsi"/>
              </w:rPr>
            </w:pPr>
            <w:r>
              <w:rPr>
                <w:rFonts w:cstheme="minorHAnsi"/>
              </w:rPr>
              <w:t>1,3</w:t>
            </w:r>
            <w:r w:rsidR="0080131C">
              <w:rPr>
                <w:rFonts w:cstheme="minorHAnsi"/>
              </w:rPr>
              <w:t>60</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323B1624" w14:textId="645CCB89" w:rsidR="00EB49AC" w:rsidRPr="00162A57" w:rsidRDefault="003F403D" w:rsidP="003B327A">
            <w:pPr>
              <w:spacing w:line="252" w:lineRule="auto"/>
              <w:ind w:right="-23"/>
              <w:rPr>
                <w:rFonts w:cstheme="minorHAnsi"/>
              </w:rPr>
            </w:pPr>
            <w:r>
              <w:rPr>
                <w:rFonts w:cstheme="minorHAnsi"/>
              </w:rPr>
              <w:t>1,</w:t>
            </w:r>
            <w:r w:rsidR="0080131C">
              <w:rPr>
                <w:rFonts w:cstheme="minorHAnsi"/>
              </w:rPr>
              <w:t>500</w:t>
            </w:r>
          </w:p>
        </w:tc>
        <w:tc>
          <w:tcPr>
            <w:tcW w:w="1124" w:type="dxa"/>
            <w:gridSpan w:val="3"/>
            <w:tcBorders>
              <w:top w:val="nil"/>
              <w:left w:val="nil"/>
              <w:bottom w:val="nil"/>
              <w:right w:val="nil"/>
            </w:tcBorders>
            <w:shd w:val="clear" w:color="auto" w:fill="DEEAF6" w:themeFill="accent1" w:themeFillTint="33"/>
            <w:vAlign w:val="center"/>
          </w:tcPr>
          <w:p w14:paraId="1FCD3CFF" w14:textId="2E8A30AA" w:rsidR="00EB49AC" w:rsidRPr="003F403D" w:rsidRDefault="003F403D" w:rsidP="003B327A">
            <w:pPr>
              <w:spacing w:line="252" w:lineRule="auto"/>
              <w:ind w:right="270"/>
              <w:jc w:val="right"/>
              <w:rPr>
                <w:rFonts w:cstheme="minorHAnsi"/>
              </w:rPr>
            </w:pPr>
            <w:r>
              <w:rPr>
                <w:rFonts w:cstheme="minorHAnsi"/>
              </w:rPr>
              <w:t>10.</w:t>
            </w:r>
            <w:r w:rsidR="0080131C">
              <w:rPr>
                <w:rFonts w:cstheme="minorHAnsi"/>
              </w:rPr>
              <w:t>3</w:t>
            </w:r>
            <w:r>
              <w:rPr>
                <w:rFonts w:cstheme="minorHAnsi"/>
              </w:rPr>
              <w:t>%</w:t>
            </w:r>
          </w:p>
        </w:tc>
      </w:tr>
      <w:tr w:rsidR="00A761D3" w:rsidRPr="00162A57" w14:paraId="2E6DFA43" w14:textId="77777777" w:rsidTr="003B327A">
        <w:trPr>
          <w:trHeight w:val="288"/>
        </w:trPr>
        <w:tc>
          <w:tcPr>
            <w:tcW w:w="1456"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76A61B1E" w14:textId="4C26A685" w:rsidR="00A761D3" w:rsidRPr="00162A57" w:rsidRDefault="00A761D3" w:rsidP="003B327A">
            <w:pPr>
              <w:spacing w:line="252" w:lineRule="auto"/>
              <w:ind w:left="62" w:right="100"/>
              <w:rPr>
                <w:rFonts w:cstheme="minorHAnsi"/>
              </w:rPr>
            </w:pPr>
            <w:r w:rsidRPr="00162A57">
              <w:rPr>
                <w:rFonts w:cstheme="minorHAnsi"/>
              </w:rPr>
              <w:t>Metro 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D6B43D6" w14:textId="7AFD4306" w:rsidR="00A761D3" w:rsidRPr="00162A57" w:rsidRDefault="001D27D9" w:rsidP="003B327A">
            <w:pPr>
              <w:spacing w:line="252" w:lineRule="auto"/>
              <w:ind w:left="44" w:right="62"/>
              <w:rPr>
                <w:rFonts w:cstheme="minorHAnsi"/>
              </w:rPr>
            </w:pPr>
            <w:r>
              <w:rPr>
                <w:rFonts w:cstheme="minorHAnsi"/>
              </w:rPr>
              <w:t>2</w:t>
            </w:r>
            <w:r w:rsidR="0080131C">
              <w:rPr>
                <w:rFonts w:cstheme="minorHAnsi"/>
              </w:rPr>
              <w:t>1</w:t>
            </w:r>
            <w:r>
              <w:rPr>
                <w:rFonts w:cstheme="minorHAnsi"/>
              </w:rPr>
              <w:t>,</w:t>
            </w:r>
            <w:r w:rsidR="0080131C">
              <w:rPr>
                <w:rFonts w:cstheme="minorHAnsi"/>
              </w:rPr>
              <w:t>133</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77163EFB" w14:textId="0C78B911" w:rsidR="00A761D3" w:rsidRPr="00162A57" w:rsidRDefault="001D27D9" w:rsidP="003B327A">
            <w:pPr>
              <w:spacing w:line="252" w:lineRule="auto"/>
              <w:ind w:right="-23"/>
              <w:rPr>
                <w:rFonts w:cstheme="minorHAnsi"/>
              </w:rPr>
            </w:pPr>
            <w:r>
              <w:rPr>
                <w:rFonts w:cstheme="minorHAnsi"/>
              </w:rPr>
              <w:t>2</w:t>
            </w:r>
            <w:r w:rsidR="0080131C">
              <w:rPr>
                <w:rFonts w:cstheme="minorHAnsi"/>
              </w:rPr>
              <w:t>2</w:t>
            </w:r>
            <w:r>
              <w:rPr>
                <w:rFonts w:cstheme="minorHAnsi"/>
              </w:rPr>
              <w:t>,</w:t>
            </w:r>
            <w:r w:rsidR="0080131C">
              <w:rPr>
                <w:rFonts w:cstheme="minorHAnsi"/>
              </w:rPr>
              <w:t>445</w:t>
            </w:r>
          </w:p>
        </w:tc>
        <w:tc>
          <w:tcPr>
            <w:tcW w:w="1124" w:type="dxa"/>
            <w:gridSpan w:val="3"/>
            <w:tcBorders>
              <w:top w:val="nil"/>
              <w:left w:val="nil"/>
              <w:bottom w:val="nil"/>
              <w:right w:val="nil"/>
            </w:tcBorders>
            <w:shd w:val="clear" w:color="auto" w:fill="auto"/>
            <w:vAlign w:val="center"/>
          </w:tcPr>
          <w:p w14:paraId="2B7B2603" w14:textId="274DC67C" w:rsidR="00A761D3" w:rsidRPr="003F403D" w:rsidRDefault="001D27D9" w:rsidP="003B327A">
            <w:pPr>
              <w:spacing w:line="252" w:lineRule="auto"/>
              <w:ind w:right="270"/>
              <w:jc w:val="right"/>
              <w:rPr>
                <w:rFonts w:cstheme="minorHAnsi"/>
              </w:rPr>
            </w:pPr>
            <w:r>
              <w:rPr>
                <w:rFonts w:cstheme="minorHAnsi"/>
              </w:rPr>
              <w:t>6.</w:t>
            </w:r>
            <w:r w:rsidR="0080131C">
              <w:rPr>
                <w:rFonts w:cstheme="minorHAnsi"/>
              </w:rPr>
              <w:t>2</w:t>
            </w:r>
            <w:r w:rsidR="003F403D">
              <w:rPr>
                <w:rFonts w:cstheme="minorHAnsi"/>
              </w:rPr>
              <w:t>%</w:t>
            </w:r>
          </w:p>
        </w:tc>
      </w:tr>
      <w:tr w:rsidR="003F403D" w:rsidRPr="003F403D" w14:paraId="18FDFCAA" w14:textId="77777777" w:rsidTr="003B327A">
        <w:trPr>
          <w:gridAfter w:val="1"/>
          <w:wAfter w:w="6" w:type="dxa"/>
          <w:trHeight w:val="80"/>
        </w:trPr>
        <w:tc>
          <w:tcPr>
            <w:tcW w:w="4338" w:type="dxa"/>
            <w:gridSpan w:val="8"/>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81A6E16" w14:textId="77777777" w:rsidR="00A761D3" w:rsidRPr="003F403D" w:rsidRDefault="00A761D3" w:rsidP="003B327A">
            <w:pPr>
              <w:spacing w:line="252" w:lineRule="auto"/>
              <w:ind w:right="270"/>
              <w:rPr>
                <w:rFonts w:cstheme="minorHAnsi"/>
                <w:sz w:val="10"/>
                <w:szCs w:val="10"/>
              </w:rPr>
            </w:pPr>
          </w:p>
        </w:tc>
      </w:tr>
      <w:tr w:rsidR="00EB49AC" w:rsidRPr="00162A57" w14:paraId="6AB987CC" w14:textId="77777777" w:rsidTr="003B327A">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76A56C1D" w14:textId="6A9B91EC" w:rsidR="00EB49AC" w:rsidRPr="00162A57" w:rsidRDefault="00EB49AC" w:rsidP="003B327A">
            <w:pPr>
              <w:spacing w:line="252" w:lineRule="auto"/>
              <w:ind w:left="62"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center"/>
          </w:tcPr>
          <w:p w14:paraId="43318FCB" w14:textId="7E59A2AA" w:rsidR="00EB49AC" w:rsidRPr="00162A57" w:rsidRDefault="001D27D9" w:rsidP="003B327A">
            <w:pPr>
              <w:spacing w:line="252" w:lineRule="auto"/>
              <w:ind w:left="44" w:right="62"/>
              <w:rPr>
                <w:rFonts w:cstheme="minorHAnsi"/>
              </w:rPr>
            </w:pPr>
            <w:r>
              <w:rPr>
                <w:rFonts w:cstheme="minorHAnsi"/>
              </w:rPr>
              <w:t>2,7</w:t>
            </w:r>
            <w:r w:rsidR="0080131C">
              <w:rPr>
                <w:rFonts w:cstheme="minorHAnsi"/>
              </w:rPr>
              <w:t>99</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center"/>
          </w:tcPr>
          <w:p w14:paraId="5F6630F1" w14:textId="0AAE1B84" w:rsidR="00EB49AC" w:rsidRPr="00162A57" w:rsidRDefault="001D27D9" w:rsidP="003B327A">
            <w:pPr>
              <w:spacing w:line="252" w:lineRule="auto"/>
              <w:ind w:right="-23"/>
              <w:rPr>
                <w:rFonts w:cstheme="minorHAnsi"/>
              </w:rPr>
            </w:pPr>
            <w:r>
              <w:rPr>
                <w:rFonts w:cstheme="minorHAnsi"/>
              </w:rPr>
              <w:t>3,0</w:t>
            </w:r>
            <w:r w:rsidR="0080131C">
              <w:rPr>
                <w:rFonts w:cstheme="minorHAnsi"/>
              </w:rPr>
              <w:t>96</w:t>
            </w:r>
          </w:p>
        </w:tc>
        <w:tc>
          <w:tcPr>
            <w:tcW w:w="1124" w:type="dxa"/>
            <w:gridSpan w:val="3"/>
            <w:tcBorders>
              <w:top w:val="nil"/>
              <w:left w:val="nil"/>
              <w:bottom w:val="nil"/>
              <w:right w:val="nil"/>
            </w:tcBorders>
            <w:shd w:val="clear" w:color="auto" w:fill="auto"/>
            <w:vAlign w:val="center"/>
          </w:tcPr>
          <w:p w14:paraId="6E70715A" w14:textId="5769EB2E" w:rsidR="00EB49AC" w:rsidRPr="003F403D" w:rsidRDefault="001D27D9" w:rsidP="003B327A">
            <w:pPr>
              <w:spacing w:line="252" w:lineRule="auto"/>
              <w:ind w:right="270"/>
              <w:jc w:val="right"/>
              <w:rPr>
                <w:rFonts w:cstheme="minorHAnsi"/>
              </w:rPr>
            </w:pPr>
            <w:r>
              <w:rPr>
                <w:rFonts w:cstheme="minorHAnsi"/>
              </w:rPr>
              <w:t>10.</w:t>
            </w:r>
            <w:r w:rsidR="0080131C">
              <w:rPr>
                <w:rFonts w:cstheme="minorHAnsi"/>
              </w:rPr>
              <w:t>6</w:t>
            </w:r>
            <w:r w:rsidR="003F403D">
              <w:rPr>
                <w:rFonts w:cstheme="minorHAnsi"/>
              </w:rPr>
              <w:t>%</w:t>
            </w:r>
          </w:p>
        </w:tc>
      </w:tr>
      <w:tr w:rsidR="00EB49AC" w:rsidRPr="00162A57" w14:paraId="23FBE151" w14:textId="77777777" w:rsidTr="003B327A">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8B20572" w14:textId="10FF94F4" w:rsidR="00EB49AC" w:rsidRPr="00162A57" w:rsidRDefault="00EB49AC" w:rsidP="003B327A">
            <w:pPr>
              <w:spacing w:line="252" w:lineRule="auto"/>
              <w:ind w:left="62"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87DC80" w14:textId="7BED59CE" w:rsidR="00EB49AC" w:rsidRPr="00162A57" w:rsidRDefault="001D27D9" w:rsidP="003B327A">
            <w:pPr>
              <w:spacing w:line="252" w:lineRule="auto"/>
              <w:ind w:left="44" w:right="62"/>
              <w:rPr>
                <w:rFonts w:cstheme="minorHAnsi"/>
              </w:rPr>
            </w:pPr>
            <w:r>
              <w:rPr>
                <w:rFonts w:cstheme="minorHAnsi"/>
              </w:rPr>
              <w:t>2,</w:t>
            </w:r>
            <w:r w:rsidR="0080131C">
              <w:rPr>
                <w:rFonts w:cstheme="minorHAnsi"/>
              </w:rPr>
              <w:t>409</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722FE87" w14:textId="3EE619DD" w:rsidR="00EB49AC" w:rsidRPr="00162A57" w:rsidRDefault="001D27D9" w:rsidP="003B327A">
            <w:pPr>
              <w:spacing w:line="252" w:lineRule="auto"/>
              <w:ind w:right="-23"/>
              <w:rPr>
                <w:rFonts w:cstheme="minorHAnsi"/>
              </w:rPr>
            </w:pPr>
            <w:r>
              <w:rPr>
                <w:rFonts w:cstheme="minorHAnsi"/>
              </w:rPr>
              <w:t>2,</w:t>
            </w:r>
            <w:r w:rsidR="0080131C">
              <w:rPr>
                <w:rFonts w:cstheme="minorHAnsi"/>
              </w:rPr>
              <w:t>506</w:t>
            </w:r>
          </w:p>
        </w:tc>
        <w:tc>
          <w:tcPr>
            <w:tcW w:w="1124" w:type="dxa"/>
            <w:gridSpan w:val="3"/>
            <w:tcBorders>
              <w:top w:val="nil"/>
              <w:left w:val="nil"/>
              <w:bottom w:val="nil"/>
              <w:right w:val="nil"/>
            </w:tcBorders>
            <w:shd w:val="clear" w:color="auto" w:fill="DEEAF6" w:themeFill="accent1" w:themeFillTint="33"/>
            <w:vAlign w:val="center"/>
          </w:tcPr>
          <w:p w14:paraId="748B6DB0" w14:textId="2F614AFA" w:rsidR="00EB49AC" w:rsidRPr="003F403D" w:rsidRDefault="0080131C" w:rsidP="003B327A">
            <w:pPr>
              <w:spacing w:line="252" w:lineRule="auto"/>
              <w:ind w:right="270"/>
              <w:jc w:val="right"/>
              <w:rPr>
                <w:rFonts w:cstheme="minorHAnsi"/>
              </w:rPr>
            </w:pPr>
            <w:r>
              <w:rPr>
                <w:rFonts w:cstheme="minorHAnsi"/>
              </w:rPr>
              <w:t>4</w:t>
            </w:r>
            <w:r w:rsidR="001D27D9">
              <w:rPr>
                <w:rFonts w:cstheme="minorHAnsi"/>
              </w:rPr>
              <w:t>.</w:t>
            </w:r>
            <w:r>
              <w:rPr>
                <w:rFonts w:cstheme="minorHAnsi"/>
              </w:rPr>
              <w:t>0</w:t>
            </w:r>
            <w:r w:rsidR="003F403D">
              <w:rPr>
                <w:rFonts w:cstheme="minorHAnsi"/>
              </w:rPr>
              <w:t>%</w:t>
            </w:r>
          </w:p>
        </w:tc>
      </w:tr>
      <w:tr w:rsidR="00EB49AC" w:rsidRPr="00162A57" w14:paraId="3BABF51A" w14:textId="77777777" w:rsidTr="003B327A">
        <w:trPr>
          <w:trHeight w:val="288"/>
        </w:trPr>
        <w:tc>
          <w:tcPr>
            <w:tcW w:w="1456"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7CF821BD" w14:textId="4EE6C561" w:rsidR="00EB49AC" w:rsidRPr="00162A57" w:rsidRDefault="00EB49AC" w:rsidP="003B327A">
            <w:pPr>
              <w:spacing w:line="252" w:lineRule="auto"/>
              <w:ind w:left="62"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56334D04" w14:textId="759255F3" w:rsidR="00EB49AC" w:rsidRPr="00162A57" w:rsidRDefault="001D27D9" w:rsidP="003B327A">
            <w:pPr>
              <w:spacing w:line="252" w:lineRule="auto"/>
              <w:ind w:left="44" w:right="62"/>
              <w:rPr>
                <w:rFonts w:cstheme="minorHAnsi"/>
              </w:rPr>
            </w:pPr>
            <w:r>
              <w:rPr>
                <w:rFonts w:cstheme="minorHAnsi"/>
              </w:rPr>
              <w:t>1,8</w:t>
            </w:r>
            <w:r w:rsidR="0080131C">
              <w:rPr>
                <w:rFonts w:cstheme="minorHAnsi"/>
              </w:rPr>
              <w:t>89</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091E67F3" w14:textId="3DA50CB8" w:rsidR="00EB49AC" w:rsidRPr="00162A57" w:rsidRDefault="001D27D9" w:rsidP="003B327A">
            <w:pPr>
              <w:spacing w:line="252" w:lineRule="auto"/>
              <w:ind w:right="-23"/>
              <w:rPr>
                <w:rFonts w:cstheme="minorHAnsi"/>
              </w:rPr>
            </w:pPr>
            <w:r>
              <w:rPr>
                <w:rFonts w:cstheme="minorHAnsi"/>
              </w:rPr>
              <w:t>2,0</w:t>
            </w:r>
            <w:r w:rsidR="0080131C">
              <w:rPr>
                <w:rFonts w:cstheme="minorHAnsi"/>
              </w:rPr>
              <w:t>36</w:t>
            </w:r>
          </w:p>
        </w:tc>
        <w:tc>
          <w:tcPr>
            <w:tcW w:w="1124" w:type="dxa"/>
            <w:gridSpan w:val="3"/>
            <w:tcBorders>
              <w:top w:val="nil"/>
              <w:left w:val="nil"/>
              <w:bottom w:val="nil"/>
              <w:right w:val="nil"/>
            </w:tcBorders>
            <w:shd w:val="clear" w:color="auto" w:fill="auto"/>
            <w:vAlign w:val="center"/>
          </w:tcPr>
          <w:p w14:paraId="6E86926B" w14:textId="2BCCA4B5" w:rsidR="00EB49AC" w:rsidRPr="003F403D" w:rsidRDefault="001D27D9" w:rsidP="003B327A">
            <w:pPr>
              <w:spacing w:line="252" w:lineRule="auto"/>
              <w:ind w:right="270"/>
              <w:jc w:val="right"/>
              <w:rPr>
                <w:rFonts w:cstheme="minorHAnsi"/>
              </w:rPr>
            </w:pPr>
            <w:r>
              <w:rPr>
                <w:rFonts w:cstheme="minorHAnsi"/>
              </w:rPr>
              <w:t>7.</w:t>
            </w:r>
            <w:r w:rsidR="0080131C">
              <w:rPr>
                <w:rFonts w:cstheme="minorHAnsi"/>
              </w:rPr>
              <w:t>8</w:t>
            </w:r>
            <w:r w:rsidR="003F403D">
              <w:rPr>
                <w:rFonts w:cstheme="minorHAnsi"/>
              </w:rPr>
              <w:t>%</w:t>
            </w:r>
          </w:p>
        </w:tc>
      </w:tr>
      <w:tr w:rsidR="00A761D3" w:rsidRPr="00162A57" w14:paraId="19D49A74" w14:textId="77777777" w:rsidTr="003B327A">
        <w:trPr>
          <w:trHeight w:val="288"/>
        </w:trPr>
        <w:tc>
          <w:tcPr>
            <w:tcW w:w="1456"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6BC1A4CA" w14:textId="2A2F6702" w:rsidR="00A761D3" w:rsidRPr="00162A57" w:rsidRDefault="00A761D3" w:rsidP="003B327A">
            <w:pPr>
              <w:spacing w:line="252" w:lineRule="auto"/>
              <w:ind w:left="62" w:right="100"/>
              <w:rPr>
                <w:rFonts w:cstheme="minorHAnsi"/>
              </w:rPr>
            </w:pPr>
            <w:r w:rsidRPr="00162A57">
              <w:rPr>
                <w:rFonts w:cstheme="minorHAnsi"/>
              </w:rPr>
              <w:t>SE WI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EDBB804" w14:textId="2388D999" w:rsidR="00A761D3" w:rsidRPr="00162A57" w:rsidRDefault="001D27D9" w:rsidP="003B327A">
            <w:pPr>
              <w:spacing w:line="252" w:lineRule="auto"/>
              <w:ind w:left="44" w:right="62"/>
              <w:rPr>
                <w:rFonts w:cstheme="minorHAnsi"/>
              </w:rPr>
            </w:pPr>
            <w:r>
              <w:rPr>
                <w:rFonts w:cstheme="minorHAnsi"/>
              </w:rPr>
              <w:t>2</w:t>
            </w:r>
            <w:r w:rsidR="0080131C">
              <w:rPr>
                <w:rFonts w:cstheme="minorHAnsi"/>
              </w:rPr>
              <w:t>8</w:t>
            </w:r>
            <w:r>
              <w:rPr>
                <w:rFonts w:cstheme="minorHAnsi"/>
              </w:rPr>
              <w:t>,</w:t>
            </w:r>
            <w:r w:rsidR="0080131C">
              <w:rPr>
                <w:rFonts w:cstheme="minorHAnsi"/>
              </w:rPr>
              <w:t>230</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E2F5B2D" w14:textId="5D3A8BA4" w:rsidR="00A761D3" w:rsidRPr="00162A57" w:rsidRDefault="0080131C" w:rsidP="003B327A">
            <w:pPr>
              <w:spacing w:line="252" w:lineRule="auto"/>
              <w:ind w:right="-23"/>
              <w:rPr>
                <w:rFonts w:cstheme="minorHAnsi"/>
              </w:rPr>
            </w:pPr>
            <w:r>
              <w:rPr>
                <w:rFonts w:cstheme="minorHAnsi"/>
              </w:rPr>
              <w:t>30,083</w:t>
            </w:r>
          </w:p>
        </w:tc>
        <w:tc>
          <w:tcPr>
            <w:tcW w:w="1124" w:type="dxa"/>
            <w:gridSpan w:val="3"/>
            <w:tcBorders>
              <w:top w:val="nil"/>
              <w:left w:val="nil"/>
              <w:bottom w:val="nil"/>
              <w:right w:val="nil"/>
            </w:tcBorders>
            <w:shd w:val="clear" w:color="auto" w:fill="DEEAF6" w:themeFill="accent1" w:themeFillTint="33"/>
            <w:vAlign w:val="center"/>
          </w:tcPr>
          <w:p w14:paraId="09C9B294" w14:textId="2B677DC5" w:rsidR="00A761D3" w:rsidRPr="003F403D" w:rsidRDefault="00966533" w:rsidP="003B327A">
            <w:pPr>
              <w:spacing w:line="252" w:lineRule="auto"/>
              <w:ind w:right="270"/>
              <w:jc w:val="right"/>
              <w:rPr>
                <w:rFonts w:cstheme="minorHAnsi"/>
              </w:rPr>
            </w:pPr>
            <w:r>
              <w:rPr>
                <w:rFonts w:cstheme="minorHAnsi"/>
              </w:rPr>
              <w:t>6.</w:t>
            </w:r>
            <w:r w:rsidR="0080131C">
              <w:rPr>
                <w:rFonts w:cstheme="minorHAnsi"/>
              </w:rPr>
              <w:t>6</w:t>
            </w:r>
            <w:r w:rsidR="003F403D">
              <w:rPr>
                <w:rFonts w:cstheme="minorHAnsi"/>
              </w:rPr>
              <w:t>%</w:t>
            </w:r>
          </w:p>
        </w:tc>
      </w:tr>
    </w:tbl>
    <w:p w14:paraId="70FC0736" w14:textId="357B59E0" w:rsidR="00CF712E" w:rsidRDefault="00E5715D" w:rsidP="00D126F1">
      <w:pPr>
        <w:spacing w:before="120" w:after="120"/>
        <w:ind w:left="-360" w:right="-360"/>
        <w:contextualSpacing/>
      </w:pPr>
      <w:r>
        <w:t>December</w:t>
      </w:r>
      <w:r w:rsidR="00C16329">
        <w:t xml:space="preserve"> 1</w:t>
      </w:r>
      <w:r>
        <w:t>2</w:t>
      </w:r>
      <w:r w:rsidR="00127EF0" w:rsidRPr="00CD4658">
        <w:t>, 20</w:t>
      </w:r>
      <w:r w:rsidR="00F34596">
        <w:t>2</w:t>
      </w:r>
      <w:r w:rsidR="00241968">
        <w:t>1</w:t>
      </w:r>
      <w:r w:rsidR="00127EF0" w:rsidRPr="00CD4658">
        <w:t xml:space="preserve"> –</w:t>
      </w:r>
      <w:r w:rsidR="00C20959">
        <w:t xml:space="preserve"> </w:t>
      </w:r>
      <w:r w:rsidR="00CF712E">
        <w:t xml:space="preserve">There are few superlatives </w:t>
      </w:r>
      <w:r w:rsidR="00B31A16">
        <w:t xml:space="preserve">left </w:t>
      </w:r>
      <w:r w:rsidR="00CF712E">
        <w:t>to describe the 2020 real estate market. The year recorded the highest level of sales ever, coming in at 2</w:t>
      </w:r>
      <w:r w:rsidR="003B327A">
        <w:t>2</w:t>
      </w:r>
      <w:r w:rsidR="00CF712E">
        <w:t>,</w:t>
      </w:r>
      <w:r w:rsidR="003B327A">
        <w:t>445</w:t>
      </w:r>
      <w:r w:rsidR="00CF712E">
        <w:t xml:space="preserve"> units</w:t>
      </w:r>
      <w:r w:rsidR="00DA2DEC">
        <w:t xml:space="preserve"> in the 4-county </w:t>
      </w:r>
      <w:r w:rsidR="009F21C4">
        <w:t>M</w:t>
      </w:r>
      <w:r w:rsidR="00DA2DEC">
        <w:t>etropolitan Milwaukee market</w:t>
      </w:r>
      <w:r w:rsidR="00CF712E">
        <w:t xml:space="preserve">. </w:t>
      </w:r>
    </w:p>
    <w:p w14:paraId="327A749F" w14:textId="77777777" w:rsidR="00CF712E" w:rsidRDefault="00CF712E" w:rsidP="00D126F1">
      <w:pPr>
        <w:spacing w:before="120" w:after="120"/>
        <w:ind w:left="-360" w:right="-360"/>
        <w:contextualSpacing/>
      </w:pPr>
    </w:p>
    <w:p w14:paraId="0812DE2D" w14:textId="7217A784" w:rsidR="00CF712E" w:rsidRDefault="00BB4423" w:rsidP="00D126F1">
      <w:pPr>
        <w:spacing w:before="120" w:after="120"/>
        <w:ind w:left="-360" w:right="-360"/>
        <w:contextualSpacing/>
      </w:pPr>
      <w:r>
        <w:t xml:space="preserve">Homeownership is security. </w:t>
      </w:r>
      <w:r w:rsidR="00CF712E">
        <w:t xml:space="preserve">In a year marked by an ongoing pandemic, political strife, and a myriad of other trials consumers </w:t>
      </w:r>
      <w:r w:rsidR="0031482E">
        <w:t xml:space="preserve">‘fled to safety’ by </w:t>
      </w:r>
      <w:r w:rsidR="00CF712E">
        <w:t>purchas</w:t>
      </w:r>
      <w:r w:rsidR="0031482E">
        <w:t>ing</w:t>
      </w:r>
      <w:r w:rsidR="00CF712E">
        <w:t xml:space="preserve"> real estate.</w:t>
      </w:r>
    </w:p>
    <w:p w14:paraId="392C1D2C" w14:textId="77777777" w:rsidR="00CF712E" w:rsidRDefault="00CF712E" w:rsidP="00D126F1">
      <w:pPr>
        <w:spacing w:before="120" w:after="120"/>
        <w:ind w:left="-360" w:right="-360"/>
        <w:contextualSpacing/>
      </w:pPr>
    </w:p>
    <w:p w14:paraId="75E639CC" w14:textId="3A1D24DB" w:rsidR="00BB4423" w:rsidRDefault="00BB4423" w:rsidP="00BB4423">
      <w:pPr>
        <w:spacing w:before="120" w:after="120"/>
        <w:ind w:left="-360" w:right="-360"/>
        <w:contextualSpacing/>
      </w:pPr>
      <w:r>
        <w:t xml:space="preserve">Working and attending school from home changed how the public viewed housing. It no longer was simply a place to go to each night, </w:t>
      </w:r>
      <w:r w:rsidR="003B327A">
        <w:t xml:space="preserve">but </w:t>
      </w:r>
      <w:r>
        <w:t xml:space="preserve">a place to stay all day long. </w:t>
      </w:r>
    </w:p>
    <w:p w14:paraId="03313139" w14:textId="77777777" w:rsidR="00BB4423" w:rsidRDefault="00BB4423" w:rsidP="00BB4423">
      <w:pPr>
        <w:spacing w:before="120" w:after="120"/>
        <w:ind w:left="-360" w:right="-360"/>
        <w:contextualSpacing/>
      </w:pPr>
    </w:p>
    <w:p w14:paraId="532B40BA" w14:textId="53B9171B" w:rsidR="00CF712E" w:rsidRDefault="00BB4423" w:rsidP="00D126F1">
      <w:pPr>
        <w:spacing w:before="120" w:after="120"/>
        <w:ind w:left="-360" w:right="-360"/>
        <w:contextualSpacing/>
      </w:pPr>
      <w:r>
        <w:t xml:space="preserve">As consumers realized they </w:t>
      </w:r>
      <w:r w:rsidR="00CF712E">
        <w:t xml:space="preserve">could not control the world around them, they decided to take charge </w:t>
      </w:r>
      <w:r w:rsidR="00DA2DEC">
        <w:t xml:space="preserve">of </w:t>
      </w:r>
      <w:r w:rsidR="00CF712E">
        <w:t>what they could</w:t>
      </w:r>
      <w:r>
        <w:t xml:space="preserve"> and purchase a home</w:t>
      </w:r>
      <w:r w:rsidR="00CF712E">
        <w:t xml:space="preserve">. </w:t>
      </w:r>
    </w:p>
    <w:p w14:paraId="62D74987" w14:textId="77777777" w:rsidR="00BB4423" w:rsidRDefault="00BB4423" w:rsidP="00D126F1">
      <w:pPr>
        <w:spacing w:before="120" w:after="120"/>
        <w:ind w:left="-360" w:right="-360"/>
        <w:contextualSpacing/>
      </w:pPr>
    </w:p>
    <w:p w14:paraId="125ED71B" w14:textId="74930025" w:rsidR="00BB4423" w:rsidRDefault="0031482E" w:rsidP="00D126F1">
      <w:pPr>
        <w:spacing w:before="120" w:after="120"/>
        <w:ind w:left="-360" w:right="-360"/>
        <w:contextualSpacing/>
      </w:pPr>
      <w:r>
        <w:t xml:space="preserve">The market started </w:t>
      </w:r>
      <w:r w:rsidR="00C73AAD">
        <w:t xml:space="preserve">2020 </w:t>
      </w:r>
      <w:r>
        <w:t>normal</w:t>
      </w:r>
      <w:r w:rsidR="00C73AAD">
        <w:t>ly</w:t>
      </w:r>
      <w:r>
        <w:t xml:space="preserve">, </w:t>
      </w:r>
      <w:r w:rsidR="00946D4A">
        <w:t xml:space="preserve">stalled </w:t>
      </w:r>
      <w:r>
        <w:t xml:space="preserve">in the </w:t>
      </w:r>
      <w:r w:rsidR="00946D4A">
        <w:t xml:space="preserve">spring due to the onset of coronavirus, </w:t>
      </w:r>
      <w:r w:rsidR="00D128E8">
        <w:t>t</w:t>
      </w:r>
      <w:r w:rsidR="00C16329">
        <w:t>he</w:t>
      </w:r>
      <w:r>
        <w:t>n took off</w:t>
      </w:r>
      <w:r w:rsidR="00BB4423">
        <w:t xml:space="preserve"> after the lock-down</w:t>
      </w:r>
      <w:r w:rsidR="00C73AAD">
        <w:t xml:space="preserve"> [See </w:t>
      </w:r>
      <w:r w:rsidR="0033168B" w:rsidRPr="0033168B">
        <w:rPr>
          <w:i/>
          <w:iCs/>
        </w:rPr>
        <w:t>2019 - 2020 Sales Comparison</w:t>
      </w:r>
      <w:r w:rsidR="003B327A">
        <w:rPr>
          <w:i/>
          <w:iCs/>
        </w:rPr>
        <w:t>, p2</w:t>
      </w:r>
      <w:r w:rsidR="00C73AAD">
        <w:t>]</w:t>
      </w:r>
      <w:r w:rsidR="00BB4423">
        <w:t>.</w:t>
      </w:r>
      <w:r>
        <w:t xml:space="preserve"> </w:t>
      </w:r>
    </w:p>
    <w:p w14:paraId="45FB3CBA" w14:textId="77777777" w:rsidR="00BB4423" w:rsidRDefault="00BB4423" w:rsidP="00D126F1">
      <w:pPr>
        <w:spacing w:before="120" w:after="120"/>
        <w:ind w:left="-360" w:right="-360"/>
        <w:contextualSpacing/>
      </w:pPr>
    </w:p>
    <w:p w14:paraId="7BBB7A81" w14:textId="37C87693" w:rsidR="00D128E8" w:rsidRDefault="00C73AAD" w:rsidP="00D126F1">
      <w:pPr>
        <w:spacing w:before="120" w:after="120"/>
        <w:ind w:left="-360" w:right="-360"/>
        <w:contextualSpacing/>
      </w:pPr>
      <w:r>
        <w:t xml:space="preserve">For the month of December the </w:t>
      </w:r>
      <w:r w:rsidR="0043444E">
        <w:t>M</w:t>
      </w:r>
      <w:r w:rsidR="00C16329">
        <w:t xml:space="preserve">etropolitan Milwaukee real estate market </w:t>
      </w:r>
      <w:r>
        <w:t>overperformed compared to 2019</w:t>
      </w:r>
      <w:r w:rsidR="00946D4A">
        <w:t xml:space="preserve">. Sales in </w:t>
      </w:r>
      <w:r w:rsidR="00E5715D">
        <w:t>December</w:t>
      </w:r>
      <w:r w:rsidR="00946D4A">
        <w:t xml:space="preserve"> were up an astounding 2</w:t>
      </w:r>
      <w:r>
        <w:t>5</w:t>
      </w:r>
      <w:r w:rsidR="00946D4A">
        <w:t>.</w:t>
      </w:r>
      <w:r>
        <w:t>9</w:t>
      </w:r>
      <w:r w:rsidR="00946D4A">
        <w:t xml:space="preserve">% </w:t>
      </w:r>
      <w:r w:rsidR="00D128E8">
        <w:t>in the 4</w:t>
      </w:r>
      <w:r w:rsidR="00BF05EC">
        <w:t>-</w:t>
      </w:r>
      <w:r w:rsidR="00D128E8">
        <w:t xml:space="preserve">county area, and </w:t>
      </w:r>
      <w:r w:rsidR="002156E5">
        <w:t>up 26.</w:t>
      </w:r>
      <w:r>
        <w:t>0</w:t>
      </w:r>
      <w:r w:rsidR="002156E5">
        <w:t xml:space="preserve">% </w:t>
      </w:r>
      <w:r w:rsidR="00D128E8">
        <w:t xml:space="preserve">in </w:t>
      </w:r>
      <w:r w:rsidR="00BF05EC">
        <w:t>S</w:t>
      </w:r>
      <w:r w:rsidR="00D128E8">
        <w:t>outheastern Wisconsin.</w:t>
      </w:r>
      <w:r>
        <w:t xml:space="preserve"> </w:t>
      </w:r>
    </w:p>
    <w:p w14:paraId="58748021" w14:textId="0979B178" w:rsidR="00D128E8" w:rsidRDefault="00D128E8" w:rsidP="00D126F1">
      <w:pPr>
        <w:spacing w:before="120" w:after="120"/>
        <w:ind w:left="-360" w:right="-360"/>
        <w:contextualSpacing/>
      </w:pPr>
    </w:p>
    <w:p w14:paraId="6EDDD125" w14:textId="6C5D9900" w:rsidR="002156E5" w:rsidRDefault="002156E5" w:rsidP="00D126F1">
      <w:pPr>
        <w:spacing w:before="120" w:after="120"/>
        <w:ind w:left="-360" w:right="-360"/>
        <w:contextualSpacing/>
      </w:pPr>
      <w:r>
        <w:t xml:space="preserve">In a more typical market, sales in the 4-county area would be under </w:t>
      </w:r>
      <w:r w:rsidR="00C73AAD">
        <w:t>1</w:t>
      </w:r>
      <w:r>
        <w:t>,</w:t>
      </w:r>
      <w:r w:rsidR="00C73AAD">
        <w:t>5</w:t>
      </w:r>
      <w:r>
        <w:t xml:space="preserve">00 units in </w:t>
      </w:r>
      <w:r w:rsidR="00E5715D">
        <w:t>December</w:t>
      </w:r>
      <w:r>
        <w:t xml:space="preserve"> as buyers’ and sellers’ attention turn</w:t>
      </w:r>
      <w:r w:rsidR="00B31A16">
        <w:t>ed</w:t>
      </w:r>
      <w:r>
        <w:t xml:space="preserve"> to </w:t>
      </w:r>
      <w:r w:rsidR="00C73AAD">
        <w:t>the Holidays</w:t>
      </w:r>
      <w:r w:rsidR="00B31A16">
        <w:t>,</w:t>
      </w:r>
      <w:r w:rsidR="00C73AAD">
        <w:t xml:space="preserve"> </w:t>
      </w:r>
      <w:r w:rsidR="00B31A16">
        <w:t xml:space="preserve">Bucks, </w:t>
      </w:r>
      <w:r w:rsidR="00C73AAD">
        <w:t>and Packers in the playoffs</w:t>
      </w:r>
      <w:r>
        <w:t>.</w:t>
      </w:r>
      <w:r w:rsidR="00B31A16">
        <w:t xml:space="preserve"> </w:t>
      </w:r>
      <w:r w:rsidR="003B327A">
        <w:t xml:space="preserve">In </w:t>
      </w:r>
      <w:r w:rsidR="00DE4409">
        <w:t xml:space="preserve">December </w:t>
      </w:r>
      <w:r w:rsidR="003B327A">
        <w:t xml:space="preserve">2020 </w:t>
      </w:r>
      <w:r w:rsidR="00DE4409">
        <w:t xml:space="preserve">sales </w:t>
      </w:r>
      <w:r w:rsidR="003B327A">
        <w:t>were over 1,800</w:t>
      </w:r>
      <w:r w:rsidR="00DE4409">
        <w:t xml:space="preserve">. </w:t>
      </w:r>
    </w:p>
    <w:p w14:paraId="6CB2C973" w14:textId="3B454A27" w:rsidR="00C73AAD" w:rsidRDefault="00C73AAD">
      <w:pPr>
        <w:spacing w:after="160" w:line="259" w:lineRule="auto"/>
      </w:pPr>
      <w:r>
        <w:br w:type="page"/>
      </w:r>
    </w:p>
    <w:p w14:paraId="73BB68A5" w14:textId="208F1947" w:rsidR="00DE478C" w:rsidRDefault="00DE478C" w:rsidP="00D126F1">
      <w:pPr>
        <w:spacing w:before="120" w:after="120"/>
        <w:ind w:left="-360" w:right="-360"/>
        <w:contextualSpacing/>
      </w:pPr>
      <w:r>
        <w:rPr>
          <w:noProof/>
        </w:rPr>
        <w:lastRenderedPageBreak/>
        <w:drawing>
          <wp:anchor distT="0" distB="0" distL="114300" distR="114300" simplePos="0" relativeHeight="251685888" behindDoc="0" locked="0" layoutInCell="1" allowOverlap="1" wp14:anchorId="6A082F3D" wp14:editId="3FAFDA12">
            <wp:simplePos x="0" y="0"/>
            <wp:positionH relativeFrom="column">
              <wp:posOffset>-261620</wp:posOffset>
            </wp:positionH>
            <wp:positionV relativeFrom="paragraph">
              <wp:posOffset>178435</wp:posOffset>
            </wp:positionV>
            <wp:extent cx="2900680" cy="2077720"/>
            <wp:effectExtent l="0" t="0" r="0" b="0"/>
            <wp:wrapSquare wrapText="bothSides"/>
            <wp:docPr id="2" name="Chart 2">
              <a:extLst xmlns:a="http://schemas.openxmlformats.org/drawingml/2006/main">
                <a:ext uri="{FF2B5EF4-FFF2-40B4-BE49-F238E27FC236}">
                  <a16:creationId xmlns:a16="http://schemas.microsoft.com/office/drawing/2014/main" id="{B37B4829-DE63-40CD-9E99-7DA27E286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9000A4B" w14:textId="71055100" w:rsidR="00C0002D" w:rsidRDefault="00C0002D" w:rsidP="00D126F1">
      <w:pPr>
        <w:spacing w:before="120" w:after="120"/>
        <w:ind w:left="-360" w:right="-360"/>
        <w:contextualSpacing/>
      </w:pPr>
    </w:p>
    <w:p w14:paraId="2871F168" w14:textId="20897FF5" w:rsidR="0080131C" w:rsidRDefault="00DE4409" w:rsidP="00D126F1">
      <w:pPr>
        <w:spacing w:before="120" w:after="120"/>
        <w:ind w:left="-360" w:right="-360"/>
        <w:contextualSpacing/>
      </w:pPr>
      <w:r>
        <w:t>As the Sales Comparison graph to the left shows, f</w:t>
      </w:r>
      <w:r w:rsidR="00DE478C">
        <w:t>or the first 6 months of 2020, the Metropolitan Milwaukee market was down 6.9% (9,574 in 2019 vs. 8,910 in 2020) .</w:t>
      </w:r>
    </w:p>
    <w:p w14:paraId="583FE082" w14:textId="6A06C1EF" w:rsidR="0080131C" w:rsidRDefault="00C0002D" w:rsidP="00D126F1">
      <w:pPr>
        <w:spacing w:before="120" w:after="120"/>
        <w:ind w:left="-360" w:right="-360"/>
        <w:contextualSpacing/>
      </w:pPr>
      <w:r>
        <w:rPr>
          <w:noProof/>
        </w:rPr>
        <mc:AlternateContent>
          <mc:Choice Requires="wps">
            <w:drawing>
              <wp:anchor distT="45720" distB="45720" distL="114300" distR="114300" simplePos="0" relativeHeight="251686912" behindDoc="0" locked="0" layoutInCell="1" allowOverlap="1" wp14:anchorId="7CF0A81E" wp14:editId="2E861F70">
                <wp:simplePos x="0" y="0"/>
                <wp:positionH relativeFrom="column">
                  <wp:posOffset>504190</wp:posOffset>
                </wp:positionH>
                <wp:positionV relativeFrom="paragraph">
                  <wp:posOffset>12700</wp:posOffset>
                </wp:positionV>
                <wp:extent cx="429260"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5C593479" w14:textId="18FB9FB0" w:rsidR="001813B3" w:rsidRPr="004B1439" w:rsidRDefault="001813B3" w:rsidP="00BB55D6">
                            <w:pPr>
                              <w:shd w:val="clear" w:color="auto" w:fill="BDD6EE" w:themeFill="accent1" w:themeFillTint="66"/>
                              <w:rPr>
                                <w:sz w:val="18"/>
                                <w:szCs w:val="18"/>
                              </w:rPr>
                            </w:pPr>
                            <w:r w:rsidRPr="004B1439">
                              <w:rPr>
                                <w:sz w:val="18"/>
                                <w:szCs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A81E" id="_x0000_t202" coordsize="21600,21600" o:spt="202" path="m,l,21600r21600,l21600,xe">
                <v:stroke joinstyle="miter"/>
                <v:path gradientshapeok="t" o:connecttype="rect"/>
              </v:shapetype>
              <v:shape id="Text Box 2" o:spid="_x0000_s1027" type="#_x0000_t202" style="position:absolute;left:0;text-align:left;margin-left:39.7pt;margin-top:1pt;width:33.8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BBCwIAAPoDAAAOAAAAZHJzL2Uyb0RvYy54bWysU9tuGyEQfa/Uf0C81+vd2om9Mo7SpKkq&#10;pRcp6QdglvWiAkMBe9f9+g6s41jpWxQe0MAMZ+acGVZXg9FkL31QYBktJ1NKpBXQKLtl9Nfj3YcF&#10;JSFy23ANVjJ6kIFerd+/W/WulhV0oBvpCYLYUPeO0S5GVxdFEJ00PEzASYvOFrzhEY9+WzSe94hu&#10;dFFNpxdFD75xHoQMAW9vRyddZ/y2lSL+aNsgI9GMYm0x7z7vm7QX6xWvt567ToljGfwVVRiuLCY9&#10;Qd3yyMnOq/+gjBIeArRxIsAU0LZKyMwB2ZTTF2weOu5k5oLiBHeSKbwdrPi+/+mJahityktKLDfY&#10;pEc5RPIJBlIlfXoXagx7cBgYB7zGPmeuwd2D+B2IhZuO26289h76TvIG6yvTy+Ls6YgTEsim/wYN&#10;puG7CBloaL1J4qEcBNGxT4dTb1IpAi9n1bK6QI9AV/VxUVbznIHXT4+dD/GLBEOSwajH1mdwvr8P&#10;MRXD66eQlMvCndI6t19b0jO6nCPkC49REadTK8PoYprWOC+J42fb5MeRKz3amEDbI+nEc2Qch82Q&#10;9c2KJEE20BxQBQ/jMOLnQaMD/5eSHgeR0fBnx72kRH+1qOSynM3S5ObDbH5Z4cGfezbnHm4FQjEa&#10;KRnNm5infSR2jYq3KqvxXMmxZBywLNLxM6QJPj/nqOcvu/4HAAD//wMAUEsDBBQABgAIAAAAIQC4&#10;Pr/Z3AAAAAcBAAAPAAAAZHJzL2Rvd25yZXYueG1sTI/BTsMwEETvSPyDtUjcqENJKQnZVAjEFdRC&#10;K3Fz420SEa+j2G3C37M9wW1WM5p5W6wm16kTDaH1jHA7S0ARV962XCN8frzePIAK0bA1nWdC+KEA&#10;q/LyojC59SOv6bSJtZISDrlBaGLsc61D1ZAzYeZ7YvEOfnAmyjnU2g5mlHLX6XmS3GtnWpaFxvT0&#10;3FD1vTk6hO3b4WuXJu/1i1v0o58SzS7TiNdX09MjqEhT/AvDGV/QoRSmvT+yDapDWGapJBHm8tHZ&#10;Tpci9gh32QJ0Wej//OUvAAAA//8DAFBLAQItABQABgAIAAAAIQC2gziS/gAAAOEBAAATAAAAAAAA&#10;AAAAAAAAAAAAAABbQ29udGVudF9UeXBlc10ueG1sUEsBAi0AFAAGAAgAAAAhADj9If/WAAAAlAEA&#10;AAsAAAAAAAAAAAAAAAAALwEAAF9yZWxzLy5yZWxzUEsBAi0AFAAGAAgAAAAhAOR54EELAgAA+gMA&#10;AA4AAAAAAAAAAAAAAAAALgIAAGRycy9lMm9Eb2MueG1sUEsBAi0AFAAGAAgAAAAhALg+v9ncAAAA&#10;BwEAAA8AAAAAAAAAAAAAAAAAZQQAAGRycy9kb3ducmV2LnhtbFBLBQYAAAAABAAEAPMAAABuBQAA&#10;AAA=&#10;" filled="f" stroked="f">
                <v:textbox>
                  <w:txbxContent>
                    <w:p w14:paraId="5C593479" w14:textId="18FB9FB0" w:rsidR="001813B3" w:rsidRPr="004B1439" w:rsidRDefault="001813B3" w:rsidP="00BB55D6">
                      <w:pPr>
                        <w:shd w:val="clear" w:color="auto" w:fill="BDD6EE" w:themeFill="accent1" w:themeFillTint="66"/>
                        <w:rPr>
                          <w:sz w:val="18"/>
                          <w:szCs w:val="18"/>
                        </w:rPr>
                      </w:pPr>
                      <w:r w:rsidRPr="004B1439">
                        <w:rPr>
                          <w:sz w:val="18"/>
                          <w:szCs w:val="18"/>
                        </w:rPr>
                        <w:t>2019</w:t>
                      </w:r>
                    </w:p>
                  </w:txbxContent>
                </v:textbox>
                <w10:wrap type="square"/>
              </v:shape>
            </w:pict>
          </mc:Fallback>
        </mc:AlternateContent>
      </w:r>
    </w:p>
    <w:p w14:paraId="557758E6" w14:textId="4A5B39D6" w:rsidR="0080131C" w:rsidRDefault="00DE4409" w:rsidP="00D126F1">
      <w:pPr>
        <w:spacing w:before="120" w:after="120"/>
        <w:ind w:left="-360" w:right="-360"/>
        <w:contextualSpacing/>
      </w:pPr>
      <w:r>
        <w:rPr>
          <w:noProof/>
        </w:rPr>
        <mc:AlternateContent>
          <mc:Choice Requires="wps">
            <w:drawing>
              <wp:anchor distT="45720" distB="45720" distL="114300" distR="114300" simplePos="0" relativeHeight="251687936" behindDoc="0" locked="0" layoutInCell="1" allowOverlap="1" wp14:anchorId="53C0A36D" wp14:editId="059777EA">
                <wp:simplePos x="0" y="0"/>
                <wp:positionH relativeFrom="column">
                  <wp:posOffset>1181735</wp:posOffset>
                </wp:positionH>
                <wp:positionV relativeFrom="paragraph">
                  <wp:posOffset>89535</wp:posOffset>
                </wp:positionV>
                <wp:extent cx="429260" cy="2381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3BAA3795" w14:textId="7681227E" w:rsidR="001813B3" w:rsidRPr="004B1439" w:rsidRDefault="001813B3" w:rsidP="00BB55D6">
                            <w:pPr>
                              <w:shd w:val="clear" w:color="auto" w:fill="8EAADB" w:themeFill="accent5" w:themeFillTint="99"/>
                              <w:rPr>
                                <w:sz w:val="18"/>
                                <w:szCs w:val="18"/>
                              </w:rPr>
                            </w:pPr>
                            <w:r w:rsidRPr="004B1439">
                              <w:rPr>
                                <w:sz w:val="18"/>
                                <w:szCs w:val="18"/>
                              </w:rPr>
                              <w:t>20</w:t>
                            </w:r>
                            <w:r>
                              <w:rPr>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A36D" id="_x0000_s1028" type="#_x0000_t202" style="position:absolute;left:0;text-align:left;margin-left:93.05pt;margin-top:7.05pt;width:33.8pt;height:18.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6ECgIAAPkDAAAOAAAAZHJzL2Uyb0RvYy54bWysU9tu2zAMfR+wfxD0vjjxki4x4hRduw4D&#10;ugvQ7gMYWY6FSaImKbGzrx8lp1nQvQ3TgyCK1CHPIbW+HoxmB+mDQlvz2WTKmbQCG2V3Nf/+dP9m&#10;yVmIYBvQaGXNjzLw683rV+veVbLEDnUjPSMQG6re1byL0VVFEUQnDYQJOmnJ2aI3EMn0u6Lx0BO6&#10;0UU5nV4VPfrGeRQyBLq9G518k/HbVor4tW2DjEzXnGqLefd536a92Kyh2nlwnRKnMuAfqjCgLCU9&#10;Q91BBLb36i8oo4THgG2cCDQFtq0SMnMgNrPpCzaPHTiZuZA4wZ1lCv8PVnw5fPNMNdS7kjMLhnr0&#10;JIfI3uPAyiRP70JFUY+O4uJA1xSaqQb3gOJHYBZvO7A7eeM99p2EhsqbpZfFxdMRJySQbf8ZG0oD&#10;+4gZaGi9SdqRGozQqU3Hc2tSKYIu5+WqvCKPIFf5djkrFzkDVM+PnQ/xo0TD0qHmnjqfweHwEGIq&#10;BqrnkJTL4r3SOndfW9bXfLUgyBceoyINp1am5stpWuO4JI4fbJMfR1B6PFMCbU+kE8+RcRy2Q5b3&#10;rOUWmyOp4HGcRfo7dOjQ/+Kspzmsefi5By85058sKbmazedpcLMxX7wryfCXnu2lB6wgqJpHzsbj&#10;bczDPhK7IcVbldVIrRkrOZVM85VFOv2FNMCXdo7682M3vwEAAP//AwBQSwMEFAAGAAgAAAAhAJLY&#10;SCPdAAAACQEAAA8AAABkcnMvZG93bnJldi54bWxMj0FPwzAMhe9I/IfISNxY0rGWUZpOCMQVtA2Q&#10;uGWN11Y0TtVka/n3807sZD+9p+fPxWpynTjiEFpPGpKZAoFUedtSreFz+3a3BBGiIWs6T6jhDwOs&#10;yuurwuTWj7TG4ybWgkso5EZDE2OfSxmqBp0JM98jsbf3gzOR5VBLO5iRy10n50pl0pmW+EJjenxp&#10;sPrdHJyGr/f9z/dCfdSvLu1HPylJ7lFqfXszPT+BiDjF/zCc8RkdSmba+QPZIDrWyyzhKC8LnhyY&#10;p/cPIHYa0iQDWRby8oPyBAAA//8DAFBLAQItABQABgAIAAAAIQC2gziS/gAAAOEBAAATAAAAAAAA&#10;AAAAAAAAAAAAAABbQ29udGVudF9UeXBlc10ueG1sUEsBAi0AFAAGAAgAAAAhADj9If/WAAAAlAEA&#10;AAsAAAAAAAAAAAAAAAAALwEAAF9yZWxzLy5yZWxzUEsBAi0AFAAGAAgAAAAhABUzroQKAgAA+QMA&#10;AA4AAAAAAAAAAAAAAAAALgIAAGRycy9lMm9Eb2MueG1sUEsBAi0AFAAGAAgAAAAhAJLYSCPdAAAA&#10;CQEAAA8AAAAAAAAAAAAAAAAAZAQAAGRycy9kb3ducmV2LnhtbFBLBQYAAAAABAAEAPMAAABuBQAA&#10;AAA=&#10;" filled="f" stroked="f">
                <v:textbox>
                  <w:txbxContent>
                    <w:p w14:paraId="3BAA3795" w14:textId="7681227E" w:rsidR="001813B3" w:rsidRPr="004B1439" w:rsidRDefault="001813B3" w:rsidP="00BB55D6">
                      <w:pPr>
                        <w:shd w:val="clear" w:color="auto" w:fill="8EAADB" w:themeFill="accent5" w:themeFillTint="99"/>
                        <w:rPr>
                          <w:sz w:val="18"/>
                          <w:szCs w:val="18"/>
                        </w:rPr>
                      </w:pPr>
                      <w:r w:rsidRPr="004B1439">
                        <w:rPr>
                          <w:sz w:val="18"/>
                          <w:szCs w:val="18"/>
                        </w:rPr>
                        <w:t>20</w:t>
                      </w:r>
                      <w:r>
                        <w:rPr>
                          <w:sz w:val="18"/>
                          <w:szCs w:val="18"/>
                        </w:rPr>
                        <w:t>20</w:t>
                      </w:r>
                    </w:p>
                  </w:txbxContent>
                </v:textbox>
                <w10:wrap type="square"/>
              </v:shape>
            </w:pict>
          </mc:Fallback>
        </mc:AlternateContent>
      </w:r>
      <w:r>
        <w:t>However, d</w:t>
      </w:r>
      <w:r w:rsidR="00DE478C">
        <w:t xml:space="preserve">uring the last half of the year, 2020 was up over 2019 by 17.3% (11,109 in 2019 vs. 13,029 in 2020). </w:t>
      </w:r>
    </w:p>
    <w:p w14:paraId="60437642" w14:textId="6C929A1D" w:rsidR="0080131C" w:rsidRDefault="0080131C" w:rsidP="00D126F1">
      <w:pPr>
        <w:spacing w:before="120" w:after="120"/>
        <w:ind w:left="-360" w:right="-360"/>
        <w:contextualSpacing/>
      </w:pPr>
    </w:p>
    <w:p w14:paraId="41EE1770" w14:textId="0A3EC46F" w:rsidR="0080131C" w:rsidRDefault="0080131C" w:rsidP="00D126F1">
      <w:pPr>
        <w:spacing w:before="120" w:after="120"/>
        <w:ind w:left="-360" w:right="-360"/>
        <w:contextualSpacing/>
      </w:pPr>
    </w:p>
    <w:p w14:paraId="11545944" w14:textId="2D9F124B" w:rsidR="0080131C" w:rsidRDefault="0080131C" w:rsidP="00D126F1">
      <w:pPr>
        <w:spacing w:before="120" w:after="120"/>
        <w:ind w:left="-360" w:right="-360"/>
        <w:contextualSpacing/>
      </w:pPr>
    </w:p>
    <w:p w14:paraId="4DA1A3A5" w14:textId="1D6C90BD" w:rsidR="0080131C" w:rsidRDefault="0080131C" w:rsidP="00D126F1">
      <w:pPr>
        <w:spacing w:before="120" w:after="120"/>
        <w:ind w:left="-360" w:right="-360"/>
        <w:contextualSpacing/>
      </w:pPr>
    </w:p>
    <w:p w14:paraId="7278A59A" w14:textId="64A7C037" w:rsidR="0080131C" w:rsidRDefault="0080131C" w:rsidP="00D126F1">
      <w:pPr>
        <w:spacing w:before="120" w:after="120"/>
        <w:ind w:left="-360" w:right="-360"/>
        <w:contextualSpacing/>
      </w:pPr>
    </w:p>
    <w:p w14:paraId="1285F532" w14:textId="381C3244" w:rsidR="00B31A16" w:rsidRDefault="00B31A16" w:rsidP="00D126F1">
      <w:pPr>
        <w:spacing w:before="120" w:after="120"/>
        <w:ind w:left="-360" w:right="-360"/>
        <w:contextualSpacing/>
      </w:pPr>
    </w:p>
    <w:p w14:paraId="5C40BC20" w14:textId="03C36B7F" w:rsidR="0080131C" w:rsidRPr="00B31A16" w:rsidRDefault="00B31A16" w:rsidP="00D126F1">
      <w:pPr>
        <w:spacing w:before="120" w:after="120"/>
        <w:ind w:left="-360" w:right="-360"/>
        <w:contextualSpacing/>
        <w:rPr>
          <w:b/>
          <w:bCs/>
        </w:rPr>
      </w:pPr>
      <w:r w:rsidRPr="00B31A16">
        <w:rPr>
          <w:b/>
          <w:bCs/>
        </w:rPr>
        <w:t>Sold Units History</w:t>
      </w:r>
    </w:p>
    <w:p w14:paraId="0080EAA7" w14:textId="5D39E1A5" w:rsidR="00B31A16" w:rsidRDefault="0059459C" w:rsidP="00B31A16">
      <w:pPr>
        <w:spacing w:before="120" w:after="120"/>
        <w:ind w:left="-360" w:right="-360"/>
        <w:contextualSpacing/>
      </w:pPr>
      <w:r>
        <w:rPr>
          <w:noProof/>
        </w:rPr>
        <mc:AlternateContent>
          <mc:Choice Requires="wps">
            <w:drawing>
              <wp:anchor distT="0" distB="0" distL="114300" distR="114300" simplePos="0" relativeHeight="251696128" behindDoc="0" locked="0" layoutInCell="1" allowOverlap="1" wp14:anchorId="7F1FC19C" wp14:editId="05046BAA">
                <wp:simplePos x="0" y="0"/>
                <wp:positionH relativeFrom="column">
                  <wp:posOffset>3086100</wp:posOffset>
                </wp:positionH>
                <wp:positionV relativeFrom="paragraph">
                  <wp:posOffset>726440</wp:posOffset>
                </wp:positionV>
                <wp:extent cx="1323975" cy="2952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1323975" cy="295275"/>
                        </a:xfrm>
                        <a:prstGeom prst="rect">
                          <a:avLst/>
                        </a:prstGeom>
                        <a:solidFill>
                          <a:schemeClr val="lt1"/>
                        </a:solidFill>
                        <a:ln w="6350">
                          <a:noFill/>
                        </a:ln>
                      </wps:spPr>
                      <wps:txbx>
                        <w:txbxContent>
                          <w:p w14:paraId="03940A5E" w14:textId="6F96C039" w:rsidR="0059459C" w:rsidRPr="0059459C" w:rsidRDefault="0059459C" w:rsidP="0059459C">
                            <w:pPr>
                              <w:rPr>
                                <w:sz w:val="20"/>
                                <w:szCs w:val="20"/>
                              </w:rPr>
                            </w:pPr>
                            <w:r w:rsidRPr="0059459C">
                              <w:rPr>
                                <w:sz w:val="20"/>
                                <w:szCs w:val="20"/>
                              </w:rPr>
                              <w:t>1</w:t>
                            </w:r>
                            <w:r w:rsidRPr="0059459C">
                              <w:rPr>
                                <w:sz w:val="20"/>
                                <w:szCs w:val="20"/>
                              </w:rPr>
                              <w:t>5</w:t>
                            </w:r>
                            <w:r w:rsidRPr="0059459C">
                              <w:rPr>
                                <w:sz w:val="20"/>
                                <w:szCs w:val="20"/>
                              </w:rPr>
                              <w:t xml:space="preserve"> Years to Recover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FC19C" id="Text Box 22" o:spid="_x0000_s1029" type="#_x0000_t202" style="position:absolute;left:0;text-align:left;margin-left:243pt;margin-top:57.2pt;width:104.25pt;height:23.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OVRAIAAIIEAAAOAAAAZHJzL2Uyb0RvYy54bWysVE2P2jAQvVfqf7B8L4EAuyUirCgrqkpo&#10;dyWo9mwch0SyPa5tSOiv79ghLN32VPXizJefZ97MZP7QKklOwroadE5HgyElQnMoan3I6ffd+tNn&#10;SpxnumAStMjpWTj6sPj4Yd6YTKRQgSyEJQiiXdaYnFbemyxJHK+EYm4ARmh0lmAV86jaQ1JY1iC6&#10;kkk6HN4lDdjCWODCObQ+dk66iPhlKbh/LksnPJE5xdx8PG089+FMFnOWHSwzVc0vabB/yEKxWuOj&#10;V6hH5hk52voPKFVzCw5KP+CgEijLmotYA1YzGr6rZlsxI2ItSI4zV5rc/4PlT6cXS+oip2lKiWYK&#10;e7QTrSdfoCVoQn4a4zIM2xoM9C3asc+93aExlN2WVoUvFkTQj0yfr+wGNB4ujdPx7H5KCUdfOpum&#10;KCN88nbbWOe/ClAkCDm12L1IKjttnO9C+5DwmANZF+tayqiEiREracmJYa+ljzki+G9RUpMmp3fj&#10;6TACawjXO2SpMZdQa1dTkHy7byM3477ePRRnpMFCN0jO8HWNuW6Y8y/M4uRg5bgN/hmPUgK+BReJ&#10;kgrsz7/ZQzw2FL2UNDiJOXU/jswKSuQ3ja2ejSaTMLpRmUzvU1TsrWd/69FHtQIkYIR7Z3gUQ7yX&#10;vVhaUK+4NMvwKrqY5vh2Tn0vrny3H7h0XCyXMQiH1TC/0VvDA3QgPHRi174yay7t8tjoJ+hnlmXv&#10;utbFhpsalkcPZR1bGnjuWL3Qj4Meh+KylGGTbvUY9fbrWPwCAAD//wMAUEsDBBQABgAIAAAAIQC4&#10;xs7z4gAAAAsBAAAPAAAAZHJzL2Rvd25yZXYueG1sTI/BTsMwEETvSPyDtUhcUOuUpqENcSqEgErc&#10;aAqImxsvSUS8jmI3CX/PcoLjzoxm32TbybZiwN43jhQs5hEIpNKZhioFh+JxtgbhgyajW0eo4Bs9&#10;bPPzs0ynxo30gsM+VIJLyKdaQR1Cl0rpyxqt9nPXIbH36XqrA599JU2vRy63rbyOokRa3RB/qHWH&#10;9zWWX/uTVfBxVb0/++npdVyult3Dbihu3kyh1OXFdHcLIuAU/sLwi8/okDPT0Z3IeNEqiNcJbwls&#10;LOIYBCeSTbwCcWQliTYg80z+35D/AAAA//8DAFBLAQItABQABgAIAAAAIQC2gziS/gAAAOEBAAAT&#10;AAAAAAAAAAAAAAAAAAAAAABbQ29udGVudF9UeXBlc10ueG1sUEsBAi0AFAAGAAgAAAAhADj9If/W&#10;AAAAlAEAAAsAAAAAAAAAAAAAAAAALwEAAF9yZWxzLy5yZWxzUEsBAi0AFAAGAAgAAAAhADjMY5VE&#10;AgAAggQAAA4AAAAAAAAAAAAAAAAALgIAAGRycy9lMm9Eb2MueG1sUEsBAi0AFAAGAAgAAAAhALjG&#10;zvPiAAAACwEAAA8AAAAAAAAAAAAAAAAAngQAAGRycy9kb3ducmV2LnhtbFBLBQYAAAAABAAEAPMA&#10;AACtBQAAAAA=&#10;" fillcolor="white [3201]" stroked="f" strokeweight=".5pt">
                <v:textbox>
                  <w:txbxContent>
                    <w:p w14:paraId="03940A5E" w14:textId="6F96C039" w:rsidR="0059459C" w:rsidRPr="0059459C" w:rsidRDefault="0059459C" w:rsidP="0059459C">
                      <w:pPr>
                        <w:rPr>
                          <w:sz w:val="20"/>
                          <w:szCs w:val="20"/>
                        </w:rPr>
                      </w:pPr>
                      <w:r w:rsidRPr="0059459C">
                        <w:rPr>
                          <w:sz w:val="20"/>
                          <w:szCs w:val="20"/>
                        </w:rPr>
                        <w:t>1</w:t>
                      </w:r>
                      <w:r w:rsidRPr="0059459C">
                        <w:rPr>
                          <w:sz w:val="20"/>
                          <w:szCs w:val="20"/>
                        </w:rPr>
                        <w:t>5</w:t>
                      </w:r>
                      <w:r w:rsidRPr="0059459C">
                        <w:rPr>
                          <w:sz w:val="20"/>
                          <w:szCs w:val="20"/>
                        </w:rPr>
                        <w:t xml:space="preserve"> Years to Recover</w:t>
                      </w:r>
                    </w:p>
                  </w:txbxContent>
                </v:textbox>
              </v:shape>
            </w:pict>
          </mc:Fallback>
        </mc:AlternateContent>
      </w:r>
      <w:r w:rsidR="00C334B0">
        <w:rPr>
          <w:noProof/>
        </w:rPr>
        <mc:AlternateContent>
          <mc:Choice Requires="wps">
            <w:drawing>
              <wp:anchor distT="0" distB="0" distL="114300" distR="114300" simplePos="0" relativeHeight="251697152" behindDoc="0" locked="0" layoutInCell="1" allowOverlap="1" wp14:anchorId="60EFBAAB" wp14:editId="286FEA1F">
                <wp:simplePos x="0" y="0"/>
                <wp:positionH relativeFrom="column">
                  <wp:posOffset>1895474</wp:posOffset>
                </wp:positionH>
                <wp:positionV relativeFrom="paragraph">
                  <wp:posOffset>786130</wp:posOffset>
                </wp:positionV>
                <wp:extent cx="362902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3629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2A0947" id="_x0000_t32" coordsize="21600,21600" o:spt="32" o:oned="t" path="m,l21600,21600e" filled="f">
                <v:path arrowok="t" fillok="f" o:connecttype="none"/>
                <o:lock v:ext="edit" shapetype="t"/>
              </v:shapetype>
              <v:shape id="Straight Arrow Connector 14" o:spid="_x0000_s1026" type="#_x0000_t32" style="position:absolute;margin-left:149.25pt;margin-top:61.9pt;width:285.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z71QEAAAIEAAAOAAAAZHJzL2Uyb0RvYy54bWysU9uO0zAQfUfiHyy/06QFVl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e7eyFFUJ7v6J5Q&#10;2cNA4g1iHMUuhsA+RhScwn6NKa8Ztgt7vKxy2mMRfzLoy5dliVP1+Dx7DCcSmjef36xet6uXUujr&#10;WfMITJjpPUQvyk8n84XIzGBZPVbHD5m4NQOvgNLVhRJJWfc29ILOiaUQWhUODgpvTi8pTeE/Ma5/&#10;dHYwwT+DYSeY49SmziDsHIqj4ulRWkOg5VyJswvMWOdmYFv5/RF4yS9QqPP5N+AZUTvHQDPY2xDx&#10;d93pdKVspvyrA5PuYsFD7M/1Lqs1PGjVq8ujKJP847rCH5/u9jsAAAD//wMAUEsDBBQABgAIAAAA&#10;IQABN6gs3QAAAAsBAAAPAAAAZHJzL2Rvd25yZXYueG1sTI/BTsMwEETvSPyDtUjcqENQIQ1xKoRE&#10;j0UUDnBz460dNV5HsZsEvp5FQoLjzjzNzlTr2XdixCG2gRRcLzIQSE0wLVkFb69PVwWImDQZ3QVC&#10;BZ8YYV2fn1W6NGGiFxx3yQoOoVhqBS6lvpQyNg69jovQI7F3CIPXic/BSjPoicN9J/Msu5Vet8Qf&#10;nO7x0WFz3J28gmf7PvqcNq08rD6+NnZrjm5KSl1ezA/3IBLO6Q+Gn/pcHWrutA8nMlF0CvJVsWSU&#10;jfyGNzBR3GW8bv+ryLqS/zfU3wAAAP//AwBQSwECLQAUAAYACAAAACEAtoM4kv4AAADhAQAAEwAA&#10;AAAAAAAAAAAAAAAAAAAAW0NvbnRlbnRfVHlwZXNdLnhtbFBLAQItABQABgAIAAAAIQA4/SH/1gAA&#10;AJQBAAALAAAAAAAAAAAAAAAAAC8BAABfcmVscy8ucmVsc1BLAQItABQABgAIAAAAIQBAhCz71QEA&#10;AAIEAAAOAAAAAAAAAAAAAAAAAC4CAABkcnMvZTJvRG9jLnhtbFBLAQItABQABgAIAAAAIQABN6gs&#10;3QAAAAsBAAAPAAAAAAAAAAAAAAAAAC8EAABkcnMvZG93bnJldi54bWxQSwUGAAAAAAQABADzAAAA&#10;OQUAAAAA&#10;" strokecolor="#5b9bd5 [3204]" strokeweight=".5pt">
                <v:stroke endarrow="block" joinstyle="miter"/>
              </v:shape>
            </w:pict>
          </mc:Fallback>
        </mc:AlternateContent>
      </w:r>
      <w:r w:rsidR="00B31A16">
        <w:rPr>
          <w:noProof/>
        </w:rPr>
        <w:drawing>
          <wp:anchor distT="0" distB="0" distL="114300" distR="114300" simplePos="0" relativeHeight="251678720" behindDoc="0" locked="0" layoutInCell="1" allowOverlap="1" wp14:anchorId="22DE318B" wp14:editId="02893AE1">
            <wp:simplePos x="0" y="0"/>
            <wp:positionH relativeFrom="column">
              <wp:posOffset>-257175</wp:posOffset>
            </wp:positionH>
            <wp:positionV relativeFrom="paragraph">
              <wp:posOffset>395605</wp:posOffset>
            </wp:positionV>
            <wp:extent cx="6400800" cy="3657600"/>
            <wp:effectExtent l="0" t="0" r="0" b="0"/>
            <wp:wrapSquare wrapText="bothSides"/>
            <wp:docPr id="13" name="Chart 1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31A16">
        <w:t xml:space="preserve">The fact that </w:t>
      </w:r>
      <w:r w:rsidR="00DE4409">
        <w:t xml:space="preserve">Metropolitan Milwaukee </w:t>
      </w:r>
      <w:r w:rsidR="00B31A16">
        <w:t xml:space="preserve">sales were up 6.2% in 2020 is a testament to the strength of buyer demand [See </w:t>
      </w:r>
      <w:r w:rsidR="00B31A16" w:rsidRPr="006A0D96">
        <w:rPr>
          <w:i/>
          <w:iCs/>
        </w:rPr>
        <w:t>Sold Units</w:t>
      </w:r>
      <w:r w:rsidR="00B31A16">
        <w:t xml:space="preserve"> graph below]</w:t>
      </w:r>
      <w:r w:rsidR="00416329">
        <w:t>,</w:t>
      </w:r>
      <w:r w:rsidR="00DE4409">
        <w:t xml:space="preserve"> </w:t>
      </w:r>
      <w:r w:rsidR="00416329">
        <w:t>w</w:t>
      </w:r>
      <w:r w:rsidR="00DE4409">
        <w:t>hich has been strong since 2016</w:t>
      </w:r>
      <w:r w:rsidR="00B31A16">
        <w:t>.</w:t>
      </w:r>
    </w:p>
    <w:p w14:paraId="7DD75CF7" w14:textId="1FB24497" w:rsidR="00B31A16" w:rsidRDefault="00DE4409" w:rsidP="00D126F1">
      <w:pPr>
        <w:spacing w:before="120" w:after="120"/>
        <w:ind w:left="-360" w:right="-360"/>
        <w:contextualSpacing/>
      </w:pPr>
      <w:r>
        <w:t>Additionally, t</w:t>
      </w:r>
      <w:r w:rsidR="00B31A16">
        <w:t>his graph shows how dramatic a decline and long recovery the market had after the Great Recession. It took 15-years for the market to fully recover and exceed the previous ‘high-water mark’ in sales back in 2005.</w:t>
      </w:r>
    </w:p>
    <w:p w14:paraId="5A04B33E" w14:textId="05958F9E" w:rsidR="00B31A16" w:rsidRDefault="00B31A16" w:rsidP="00D126F1">
      <w:pPr>
        <w:spacing w:before="120" w:after="120"/>
        <w:ind w:left="-360" w:right="-360"/>
        <w:contextualSpacing/>
      </w:pPr>
    </w:p>
    <w:p w14:paraId="4B166BBC" w14:textId="0223F030" w:rsidR="00205183" w:rsidRPr="005650BC" w:rsidRDefault="00205183" w:rsidP="00205183">
      <w:pPr>
        <w:spacing w:before="120" w:after="120"/>
        <w:ind w:left="-360" w:right="-360"/>
        <w:contextualSpacing/>
      </w:pPr>
      <w:r w:rsidRPr="005650BC">
        <w:rPr>
          <w:b/>
          <w:bCs/>
        </w:rPr>
        <w:t>Average Sale Prices</w:t>
      </w:r>
    </w:p>
    <w:p w14:paraId="362FDE3E" w14:textId="486BB271" w:rsidR="00205183" w:rsidRDefault="00205183" w:rsidP="00205183">
      <w:pPr>
        <w:spacing w:before="120" w:after="120"/>
        <w:ind w:left="-360" w:right="-360"/>
        <w:contextualSpacing/>
      </w:pPr>
      <w:r w:rsidRPr="0031621B">
        <w:t xml:space="preserve">The average sale price in all </w:t>
      </w:r>
      <w:r w:rsidR="004C7E31">
        <w:t xml:space="preserve">4 metropolitan </w:t>
      </w:r>
      <w:r w:rsidRPr="0031621B">
        <w:t xml:space="preserve">counties was up </w:t>
      </w:r>
      <w:r w:rsidR="00176044">
        <w:t xml:space="preserve">6.8% </w:t>
      </w:r>
      <w:r w:rsidR="004C7E31">
        <w:t>through</w:t>
      </w:r>
      <w:r w:rsidRPr="0031621B">
        <w:t xml:space="preserve"> </w:t>
      </w:r>
      <w:r w:rsidR="00176044">
        <w:t>2020 to $325,309</w:t>
      </w:r>
      <w:r w:rsidR="006416AF">
        <w:t>, which is not surprising c</w:t>
      </w:r>
      <w:r w:rsidRPr="0031621B">
        <w:t>onsidering the lack of inventory</w:t>
      </w:r>
      <w:r>
        <w:t xml:space="preserve"> throughout the area, particularly for properties under $300,000. </w:t>
      </w:r>
    </w:p>
    <w:p w14:paraId="02953235" w14:textId="0827ACC4" w:rsidR="00FC7E7D" w:rsidRDefault="00FC7E7D" w:rsidP="00205183">
      <w:pPr>
        <w:spacing w:before="120" w:after="120"/>
        <w:ind w:left="-360" w:right="-360"/>
        <w:contextualSpacing/>
      </w:pPr>
    </w:p>
    <w:p w14:paraId="668E4D1F" w14:textId="13AF4AE4" w:rsidR="00B92635" w:rsidRDefault="00FC7E7D" w:rsidP="00B92635">
      <w:pPr>
        <w:spacing w:before="120" w:after="120"/>
        <w:ind w:left="-360" w:right="-360"/>
        <w:contextualSpacing/>
      </w:pPr>
      <w:r>
        <w:t xml:space="preserve">Price pressure is evident by the amount of time properties are on the market. </w:t>
      </w:r>
      <w:r w:rsidR="00176044">
        <w:t>The number of days a property was on the market declined in 2020 by 13.4%, from an average of 39-days in 2019 to 34</w:t>
      </w:r>
      <w:r w:rsidR="00C334B0">
        <w:t>-days</w:t>
      </w:r>
      <w:r w:rsidR="00176044">
        <w:t xml:space="preserve"> in 2020. </w:t>
      </w:r>
      <w:r>
        <w:t>When properties sell that quickly, there are often multiple bids on a house</w:t>
      </w:r>
      <w:r w:rsidR="00752249">
        <w:t>,</w:t>
      </w:r>
      <w:r w:rsidR="00752249" w:rsidRPr="00752249">
        <w:t xml:space="preserve"> </w:t>
      </w:r>
      <w:r w:rsidR="00752249">
        <w:t>for more than the asking price,</w:t>
      </w:r>
      <w:r>
        <w:t xml:space="preserve"> within days of it being listed for sale.</w:t>
      </w:r>
    </w:p>
    <w:p w14:paraId="32624C2F" w14:textId="08383913" w:rsidR="00205183" w:rsidRDefault="00205183" w:rsidP="009A6291">
      <w:pPr>
        <w:spacing w:before="120" w:after="120"/>
        <w:ind w:left="-360" w:right="-360"/>
        <w:contextualSpacing/>
        <w:jc w:val="center"/>
      </w:pPr>
    </w:p>
    <w:p w14:paraId="27356E36" w14:textId="5F4585D5" w:rsidR="0033168B" w:rsidRDefault="006416AF" w:rsidP="008E494E">
      <w:pPr>
        <w:spacing w:before="120" w:after="120"/>
        <w:ind w:left="-360" w:right="-360"/>
        <w:contextualSpacing/>
      </w:pPr>
      <w:r>
        <w:t xml:space="preserve">In the </w:t>
      </w:r>
      <w:r w:rsidR="00C334B0">
        <w:t>7</w:t>
      </w:r>
      <w:r>
        <w:t xml:space="preserve">-county </w:t>
      </w:r>
      <w:r w:rsidR="00C334B0">
        <w:t xml:space="preserve">Southeastern Wisconsin market </w:t>
      </w:r>
      <w:r>
        <w:t>area, average prices we</w:t>
      </w:r>
      <w:r w:rsidR="00C334B0">
        <w:t>re $308,494,</w:t>
      </w:r>
      <w:r>
        <w:t xml:space="preserve"> up </w:t>
      </w:r>
      <w:r w:rsidR="00C334B0">
        <w:t>9</w:t>
      </w:r>
      <w:r>
        <w:t>.</w:t>
      </w:r>
      <w:r w:rsidR="00C334B0">
        <w:t>6</w:t>
      </w:r>
      <w:r>
        <w:t>%, or $</w:t>
      </w:r>
      <w:r w:rsidR="004C7E31">
        <w:t>2</w:t>
      </w:r>
      <w:r w:rsidR="00C334B0">
        <w:t>6</w:t>
      </w:r>
      <w:r>
        <w:t>,</w:t>
      </w:r>
      <w:r w:rsidR="00C334B0">
        <w:t>9</w:t>
      </w:r>
      <w:r w:rsidR="004C7E31">
        <w:t>79</w:t>
      </w:r>
      <w:r>
        <w:t>.</w:t>
      </w:r>
      <w:r w:rsidR="004C7E31">
        <w:t xml:space="preserve"> </w:t>
      </w:r>
    </w:p>
    <w:tbl>
      <w:tblPr>
        <w:tblW w:w="6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1"/>
        <w:gridCol w:w="1269"/>
        <w:gridCol w:w="1052"/>
        <w:gridCol w:w="1270"/>
        <w:gridCol w:w="1247"/>
      </w:tblGrid>
      <w:tr w:rsidR="001813B3" w:rsidRPr="00C41C9C" w14:paraId="74F42F7F" w14:textId="77777777" w:rsidTr="001813B3">
        <w:trPr>
          <w:trHeight w:val="360"/>
          <w:jc w:val="center"/>
        </w:trPr>
        <w:tc>
          <w:tcPr>
            <w:tcW w:w="6569" w:type="dxa"/>
            <w:gridSpan w:val="5"/>
            <w:tcBorders>
              <w:top w:val="nil"/>
              <w:left w:val="nil"/>
              <w:bottom w:val="nil"/>
              <w:right w:val="nil"/>
            </w:tcBorders>
          </w:tcPr>
          <w:p w14:paraId="32294977" w14:textId="14FE1D9D" w:rsidR="001813B3" w:rsidRPr="00F67F9D" w:rsidRDefault="0033168B" w:rsidP="001813B3">
            <w:pPr>
              <w:spacing w:line="252" w:lineRule="auto"/>
              <w:ind w:right="85"/>
              <w:rPr>
                <w:rFonts w:cstheme="minorHAnsi"/>
                <w:b/>
              </w:rPr>
            </w:pPr>
            <w:r>
              <w:lastRenderedPageBreak/>
              <w:br w:type="page"/>
            </w:r>
            <w:r w:rsidR="001813B3">
              <w:rPr>
                <w:rFonts w:cstheme="minorHAnsi"/>
                <w:b/>
              </w:rPr>
              <w:t xml:space="preserve">2020 </w:t>
            </w:r>
            <w:r w:rsidR="001813B3" w:rsidRPr="00F67F9D">
              <w:rPr>
                <w:rFonts w:cstheme="minorHAnsi"/>
                <w:b/>
              </w:rPr>
              <w:t>Sale Prices</w:t>
            </w:r>
          </w:p>
        </w:tc>
      </w:tr>
      <w:tr w:rsidR="001813B3" w:rsidRPr="00C41C9C" w14:paraId="1A03CC1A" w14:textId="77777777" w:rsidTr="00C0002D">
        <w:trPr>
          <w:trHeight w:val="288"/>
          <w:jc w:val="center"/>
        </w:trPr>
        <w:tc>
          <w:tcPr>
            <w:tcW w:w="1731" w:type="dxa"/>
            <w:tcBorders>
              <w:top w:val="nil"/>
              <w:left w:val="nil"/>
              <w:bottom w:val="nil"/>
              <w:right w:val="single" w:sz="12" w:space="0" w:color="FFFFFF"/>
            </w:tcBorders>
            <w:shd w:val="clear" w:color="auto" w:fill="1F4E79"/>
            <w:vAlign w:val="center"/>
            <w:hideMark/>
          </w:tcPr>
          <w:p w14:paraId="56CF1019" w14:textId="77777777" w:rsidR="001813B3" w:rsidRPr="00754FD0" w:rsidRDefault="001813B3" w:rsidP="001813B3">
            <w:pPr>
              <w:ind w:left="175" w:right="51"/>
              <w:rPr>
                <w:b/>
                <w:color w:val="FFFFFF" w:themeColor="background1"/>
              </w:rPr>
            </w:pPr>
            <w:r w:rsidRPr="00754FD0">
              <w:rPr>
                <w:b/>
                <w:color w:val="FFFFFF" w:themeColor="background1"/>
              </w:rPr>
              <w:t>County</w:t>
            </w:r>
          </w:p>
        </w:tc>
        <w:tc>
          <w:tcPr>
            <w:tcW w:w="1269"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hideMark/>
          </w:tcPr>
          <w:p w14:paraId="60A97DC0" w14:textId="77777777" w:rsidR="001813B3" w:rsidRPr="0031621B" w:rsidRDefault="001813B3" w:rsidP="001813B3">
            <w:pPr>
              <w:spacing w:line="207" w:lineRule="atLeast"/>
              <w:ind w:left="44" w:right="62"/>
              <w:jc w:val="center"/>
              <w:rPr>
                <w:color w:val="FFFFFF" w:themeColor="background1"/>
              </w:rPr>
            </w:pPr>
            <w:r w:rsidRPr="0031621B">
              <w:rPr>
                <w:color w:val="FFFFFF" w:themeColor="background1"/>
              </w:rPr>
              <w:t>201</w:t>
            </w:r>
            <w:r>
              <w:rPr>
                <w:color w:val="FFFFFF" w:themeColor="background1"/>
              </w:rPr>
              <w:t>9</w:t>
            </w:r>
          </w:p>
        </w:tc>
        <w:tc>
          <w:tcPr>
            <w:tcW w:w="1052"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hideMark/>
          </w:tcPr>
          <w:p w14:paraId="614A1374" w14:textId="77777777" w:rsidR="001813B3" w:rsidRPr="0031621B" w:rsidRDefault="001813B3" w:rsidP="001813B3">
            <w:pPr>
              <w:spacing w:line="207" w:lineRule="atLeast"/>
              <w:ind w:right="-23"/>
              <w:jc w:val="center"/>
              <w:rPr>
                <w:color w:val="FFFFFF" w:themeColor="background1"/>
              </w:rPr>
            </w:pPr>
            <w:r w:rsidRPr="0031621B">
              <w:rPr>
                <w:color w:val="FFFFFF" w:themeColor="background1"/>
              </w:rPr>
              <w:t>20</w:t>
            </w:r>
            <w:r>
              <w:rPr>
                <w:color w:val="FFFFFF" w:themeColor="background1"/>
              </w:rPr>
              <w:t>20</w:t>
            </w:r>
          </w:p>
        </w:tc>
        <w:tc>
          <w:tcPr>
            <w:tcW w:w="1270" w:type="dxa"/>
            <w:tcBorders>
              <w:top w:val="nil"/>
              <w:left w:val="single" w:sz="12" w:space="0" w:color="FFFFFF"/>
              <w:bottom w:val="nil"/>
              <w:right w:val="nil"/>
            </w:tcBorders>
            <w:shd w:val="clear" w:color="auto" w:fill="1F4E79"/>
          </w:tcPr>
          <w:p w14:paraId="71D927C6" w14:textId="77777777" w:rsidR="001813B3" w:rsidRPr="0031621B" w:rsidRDefault="001813B3" w:rsidP="001813B3">
            <w:pPr>
              <w:ind w:left="89" w:right="65"/>
              <w:jc w:val="center"/>
              <w:rPr>
                <w:color w:val="FFFFFF" w:themeColor="background1"/>
              </w:rPr>
            </w:pPr>
            <w:r w:rsidRPr="0031621B">
              <w:rPr>
                <w:color w:val="FFFFFF" w:themeColor="background1"/>
              </w:rPr>
              <w:t>$ Change</w:t>
            </w:r>
          </w:p>
        </w:tc>
        <w:tc>
          <w:tcPr>
            <w:tcW w:w="1247" w:type="dxa"/>
            <w:tcBorders>
              <w:top w:val="nil"/>
              <w:left w:val="single" w:sz="12" w:space="0" w:color="FFFFFF"/>
              <w:bottom w:val="nil"/>
              <w:right w:val="nil"/>
            </w:tcBorders>
            <w:shd w:val="clear" w:color="auto" w:fill="1F4E79"/>
          </w:tcPr>
          <w:p w14:paraId="32D7C094" w14:textId="77777777" w:rsidR="001813B3" w:rsidRPr="00754FD0" w:rsidRDefault="001813B3" w:rsidP="001813B3">
            <w:pPr>
              <w:ind w:left="89" w:right="90"/>
              <w:jc w:val="center"/>
              <w:rPr>
                <w:color w:val="FFFFFF" w:themeColor="background1"/>
              </w:rPr>
            </w:pPr>
            <w:r w:rsidRPr="00754FD0">
              <w:rPr>
                <w:color w:val="FFFFFF" w:themeColor="background1"/>
              </w:rPr>
              <w:t>% Change</w:t>
            </w:r>
          </w:p>
        </w:tc>
      </w:tr>
      <w:tr w:rsidR="001813B3" w:rsidRPr="00C41C9C" w14:paraId="58C37FA6" w14:textId="77777777" w:rsidTr="001813B3">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1EB9CF39" w14:textId="77777777" w:rsidR="001813B3" w:rsidRPr="00C41C9C" w:rsidRDefault="001813B3" w:rsidP="001813B3">
            <w:pPr>
              <w:spacing w:line="252" w:lineRule="auto"/>
              <w:ind w:left="62" w:right="51"/>
            </w:pPr>
            <w:r w:rsidRPr="00C41C9C">
              <w:t>Milwaukee</w:t>
            </w:r>
          </w:p>
        </w:tc>
        <w:tc>
          <w:tcPr>
            <w:tcW w:w="1269" w:type="dxa"/>
            <w:tcBorders>
              <w:top w:val="nil"/>
              <w:left w:val="nil"/>
              <w:bottom w:val="nil"/>
              <w:right w:val="nil"/>
            </w:tcBorders>
            <w:shd w:val="clear" w:color="auto" w:fill="auto"/>
            <w:tcMar>
              <w:top w:w="0" w:type="dxa"/>
              <w:left w:w="108" w:type="dxa"/>
              <w:bottom w:w="0" w:type="dxa"/>
              <w:right w:w="108" w:type="dxa"/>
            </w:tcMar>
          </w:tcPr>
          <w:p w14:paraId="594F8603" w14:textId="77777777" w:rsidR="001813B3" w:rsidRPr="0031621B" w:rsidRDefault="001813B3" w:rsidP="001813B3">
            <w:pPr>
              <w:spacing w:line="252" w:lineRule="auto"/>
              <w:ind w:left="44" w:right="62"/>
            </w:pPr>
            <w:r>
              <w:t>$199,104</w:t>
            </w:r>
          </w:p>
        </w:tc>
        <w:tc>
          <w:tcPr>
            <w:tcW w:w="1052" w:type="dxa"/>
            <w:tcBorders>
              <w:top w:val="nil"/>
              <w:left w:val="nil"/>
              <w:bottom w:val="nil"/>
              <w:right w:val="nil"/>
            </w:tcBorders>
            <w:shd w:val="clear" w:color="auto" w:fill="auto"/>
            <w:tcMar>
              <w:top w:w="0" w:type="dxa"/>
              <w:left w:w="108" w:type="dxa"/>
              <w:bottom w:w="0" w:type="dxa"/>
              <w:right w:w="108" w:type="dxa"/>
            </w:tcMar>
          </w:tcPr>
          <w:p w14:paraId="5AD505CB" w14:textId="77777777" w:rsidR="001813B3" w:rsidRPr="0031621B" w:rsidRDefault="001813B3" w:rsidP="001813B3">
            <w:pPr>
              <w:spacing w:line="252" w:lineRule="auto"/>
              <w:ind w:right="-23"/>
            </w:pPr>
            <w:r>
              <w:t>$219,460</w:t>
            </w:r>
          </w:p>
        </w:tc>
        <w:tc>
          <w:tcPr>
            <w:tcW w:w="1270" w:type="dxa"/>
            <w:tcBorders>
              <w:top w:val="nil"/>
              <w:left w:val="nil"/>
              <w:bottom w:val="nil"/>
              <w:right w:val="nil"/>
            </w:tcBorders>
            <w:shd w:val="clear" w:color="auto" w:fill="auto"/>
          </w:tcPr>
          <w:p w14:paraId="394C1B62" w14:textId="77777777" w:rsidR="001813B3" w:rsidRPr="0031621B" w:rsidRDefault="001813B3" w:rsidP="001813B3">
            <w:pPr>
              <w:spacing w:line="252" w:lineRule="auto"/>
              <w:ind w:left="89" w:right="232"/>
              <w:jc w:val="right"/>
            </w:pPr>
            <w:r>
              <w:t>$20,356</w:t>
            </w:r>
          </w:p>
        </w:tc>
        <w:tc>
          <w:tcPr>
            <w:tcW w:w="1247" w:type="dxa"/>
            <w:tcBorders>
              <w:top w:val="nil"/>
              <w:left w:val="nil"/>
              <w:bottom w:val="nil"/>
              <w:right w:val="nil"/>
            </w:tcBorders>
          </w:tcPr>
          <w:p w14:paraId="37C341E3" w14:textId="77777777" w:rsidR="001813B3" w:rsidRPr="00C41C9C" w:rsidRDefault="001813B3" w:rsidP="001813B3">
            <w:pPr>
              <w:spacing w:line="252" w:lineRule="auto"/>
              <w:ind w:right="445"/>
              <w:jc w:val="right"/>
            </w:pPr>
            <w:r>
              <w:t>10.2</w:t>
            </w:r>
            <w:r w:rsidRPr="00D460C9">
              <w:t>%</w:t>
            </w:r>
          </w:p>
        </w:tc>
      </w:tr>
      <w:tr w:rsidR="001813B3" w:rsidRPr="00C41C9C" w14:paraId="4552FBD2" w14:textId="77777777" w:rsidTr="001813B3">
        <w:trPr>
          <w:trHeight w:val="288"/>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5F04E981" w14:textId="77777777" w:rsidR="001813B3" w:rsidRPr="00C41C9C" w:rsidRDefault="001813B3" w:rsidP="001813B3">
            <w:pPr>
              <w:spacing w:line="252" w:lineRule="auto"/>
              <w:ind w:left="62" w:right="51"/>
            </w:pPr>
            <w:r w:rsidRPr="00C41C9C">
              <w:t>Waukesha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5A7EF0C6" w14:textId="77777777" w:rsidR="001813B3" w:rsidRPr="0031621B" w:rsidRDefault="001813B3" w:rsidP="001813B3">
            <w:pPr>
              <w:spacing w:line="252" w:lineRule="auto"/>
              <w:ind w:left="44" w:right="62"/>
            </w:pPr>
            <w:r>
              <w:t>$354,507</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52E7BFE2" w14:textId="77777777" w:rsidR="001813B3" w:rsidRPr="0031621B" w:rsidRDefault="001813B3" w:rsidP="001813B3">
            <w:pPr>
              <w:spacing w:line="252" w:lineRule="auto"/>
              <w:ind w:right="-23"/>
            </w:pPr>
            <w:r>
              <w:t>$396,576</w:t>
            </w:r>
          </w:p>
        </w:tc>
        <w:tc>
          <w:tcPr>
            <w:tcW w:w="1270" w:type="dxa"/>
            <w:tcBorders>
              <w:top w:val="nil"/>
              <w:left w:val="nil"/>
              <w:bottom w:val="nil"/>
              <w:right w:val="nil"/>
            </w:tcBorders>
            <w:shd w:val="clear" w:color="auto" w:fill="DEEAF6" w:themeFill="accent1" w:themeFillTint="33"/>
          </w:tcPr>
          <w:p w14:paraId="1FB926C8" w14:textId="77777777" w:rsidR="001813B3" w:rsidRPr="0031621B" w:rsidRDefault="001813B3" w:rsidP="001813B3">
            <w:pPr>
              <w:spacing w:line="252" w:lineRule="auto"/>
              <w:ind w:left="89" w:right="232"/>
              <w:jc w:val="right"/>
            </w:pPr>
            <w:r>
              <w:t>$42,069</w:t>
            </w:r>
          </w:p>
        </w:tc>
        <w:tc>
          <w:tcPr>
            <w:tcW w:w="1247" w:type="dxa"/>
            <w:tcBorders>
              <w:top w:val="nil"/>
              <w:left w:val="nil"/>
              <w:bottom w:val="nil"/>
              <w:right w:val="nil"/>
            </w:tcBorders>
            <w:shd w:val="clear" w:color="auto" w:fill="DEEAF6" w:themeFill="accent1" w:themeFillTint="33"/>
          </w:tcPr>
          <w:p w14:paraId="1D118CCB" w14:textId="77777777" w:rsidR="001813B3" w:rsidRPr="00C41C9C" w:rsidRDefault="001813B3" w:rsidP="001813B3">
            <w:pPr>
              <w:spacing w:line="252" w:lineRule="auto"/>
              <w:ind w:right="445"/>
              <w:jc w:val="right"/>
            </w:pPr>
            <w:r>
              <w:t>11.9</w:t>
            </w:r>
            <w:r w:rsidRPr="00D460C9">
              <w:t>%</w:t>
            </w:r>
          </w:p>
        </w:tc>
      </w:tr>
      <w:tr w:rsidR="001813B3" w:rsidRPr="00C41C9C" w14:paraId="264EE20D" w14:textId="77777777" w:rsidTr="001813B3">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1B938A59" w14:textId="77777777" w:rsidR="001813B3" w:rsidRPr="00C41C9C" w:rsidRDefault="001813B3" w:rsidP="001813B3">
            <w:pPr>
              <w:spacing w:line="252" w:lineRule="auto"/>
              <w:ind w:left="62" w:right="51"/>
            </w:pPr>
            <w:r w:rsidRPr="00C41C9C">
              <w:t>Washington</w:t>
            </w:r>
          </w:p>
        </w:tc>
        <w:tc>
          <w:tcPr>
            <w:tcW w:w="1269" w:type="dxa"/>
            <w:tcBorders>
              <w:top w:val="nil"/>
              <w:left w:val="nil"/>
              <w:bottom w:val="nil"/>
              <w:right w:val="nil"/>
            </w:tcBorders>
            <w:shd w:val="clear" w:color="auto" w:fill="auto"/>
            <w:tcMar>
              <w:top w:w="0" w:type="dxa"/>
              <w:left w:w="108" w:type="dxa"/>
              <w:bottom w:w="0" w:type="dxa"/>
              <w:right w:w="108" w:type="dxa"/>
            </w:tcMar>
          </w:tcPr>
          <w:p w14:paraId="062F30C2" w14:textId="77777777" w:rsidR="001813B3" w:rsidRPr="0031621B" w:rsidRDefault="001813B3" w:rsidP="001813B3">
            <w:pPr>
              <w:spacing w:line="252" w:lineRule="auto"/>
              <w:ind w:left="44" w:right="62"/>
            </w:pPr>
            <w:r>
              <w:t>$277,609</w:t>
            </w:r>
          </w:p>
        </w:tc>
        <w:tc>
          <w:tcPr>
            <w:tcW w:w="1052" w:type="dxa"/>
            <w:tcBorders>
              <w:top w:val="nil"/>
              <w:left w:val="nil"/>
              <w:bottom w:val="nil"/>
              <w:right w:val="nil"/>
            </w:tcBorders>
            <w:shd w:val="clear" w:color="auto" w:fill="auto"/>
            <w:tcMar>
              <w:top w:w="0" w:type="dxa"/>
              <w:left w:w="108" w:type="dxa"/>
              <w:bottom w:w="0" w:type="dxa"/>
              <w:right w:w="108" w:type="dxa"/>
            </w:tcMar>
          </w:tcPr>
          <w:p w14:paraId="5B6E2D56" w14:textId="77777777" w:rsidR="001813B3" w:rsidRPr="0031621B" w:rsidRDefault="001813B3" w:rsidP="001813B3">
            <w:pPr>
              <w:spacing w:line="252" w:lineRule="auto"/>
              <w:ind w:right="-23"/>
            </w:pPr>
            <w:r>
              <w:t>$296,419</w:t>
            </w:r>
          </w:p>
        </w:tc>
        <w:tc>
          <w:tcPr>
            <w:tcW w:w="1270" w:type="dxa"/>
            <w:tcBorders>
              <w:top w:val="nil"/>
              <w:left w:val="nil"/>
              <w:bottom w:val="nil"/>
              <w:right w:val="nil"/>
            </w:tcBorders>
            <w:shd w:val="clear" w:color="auto" w:fill="auto"/>
          </w:tcPr>
          <w:p w14:paraId="2CCE1230" w14:textId="77777777" w:rsidR="001813B3" w:rsidRPr="0031621B" w:rsidRDefault="001813B3" w:rsidP="001813B3">
            <w:pPr>
              <w:spacing w:line="252" w:lineRule="auto"/>
              <w:ind w:left="89" w:right="232"/>
              <w:jc w:val="right"/>
            </w:pPr>
            <w:r>
              <w:t>$18,810</w:t>
            </w:r>
          </w:p>
        </w:tc>
        <w:tc>
          <w:tcPr>
            <w:tcW w:w="1247" w:type="dxa"/>
            <w:tcBorders>
              <w:top w:val="nil"/>
              <w:left w:val="nil"/>
              <w:bottom w:val="nil"/>
              <w:right w:val="nil"/>
            </w:tcBorders>
          </w:tcPr>
          <w:p w14:paraId="789C7C06" w14:textId="77777777" w:rsidR="001813B3" w:rsidRPr="00C41C9C" w:rsidRDefault="001813B3" w:rsidP="001813B3">
            <w:pPr>
              <w:spacing w:line="252" w:lineRule="auto"/>
              <w:ind w:right="445"/>
              <w:jc w:val="right"/>
            </w:pPr>
            <w:r>
              <w:t>6.8</w:t>
            </w:r>
            <w:r w:rsidRPr="00D460C9">
              <w:t>%</w:t>
            </w:r>
          </w:p>
        </w:tc>
      </w:tr>
      <w:tr w:rsidR="001813B3" w:rsidRPr="00C41C9C" w14:paraId="0C1CF50E" w14:textId="77777777" w:rsidTr="001813B3">
        <w:trPr>
          <w:trHeight w:val="288"/>
          <w:jc w:val="center"/>
        </w:trPr>
        <w:tc>
          <w:tcPr>
            <w:tcW w:w="1731"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3B42C78B" w14:textId="77777777" w:rsidR="001813B3" w:rsidRPr="006D22A4" w:rsidRDefault="001813B3" w:rsidP="001813B3">
            <w:pPr>
              <w:spacing w:line="252" w:lineRule="auto"/>
              <w:ind w:left="62" w:right="51"/>
            </w:pPr>
            <w:r w:rsidRPr="006D22A4">
              <w:t>Ozaukee</w:t>
            </w:r>
          </w:p>
        </w:tc>
        <w:tc>
          <w:tcPr>
            <w:tcW w:w="12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0BEDE987" w14:textId="77777777" w:rsidR="001813B3" w:rsidRPr="0031621B" w:rsidRDefault="001813B3" w:rsidP="001813B3">
            <w:pPr>
              <w:spacing w:line="252" w:lineRule="auto"/>
              <w:ind w:left="44" w:right="62"/>
            </w:pPr>
            <w:r>
              <w:t>$386,929</w:t>
            </w:r>
          </w:p>
        </w:tc>
        <w:tc>
          <w:tcPr>
            <w:tcW w:w="10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4124A534" w14:textId="77777777" w:rsidR="001813B3" w:rsidRPr="0031621B" w:rsidRDefault="001813B3" w:rsidP="001813B3">
            <w:pPr>
              <w:spacing w:line="252" w:lineRule="auto"/>
              <w:ind w:right="-23"/>
            </w:pPr>
            <w:r>
              <w:t>$388,780</w:t>
            </w:r>
          </w:p>
        </w:tc>
        <w:tc>
          <w:tcPr>
            <w:tcW w:w="1270" w:type="dxa"/>
            <w:tcBorders>
              <w:top w:val="nil"/>
              <w:left w:val="nil"/>
              <w:bottom w:val="nil"/>
              <w:right w:val="nil"/>
            </w:tcBorders>
            <w:shd w:val="clear" w:color="auto" w:fill="DEEAF6" w:themeFill="accent1" w:themeFillTint="33"/>
          </w:tcPr>
          <w:p w14:paraId="35E28878" w14:textId="77777777" w:rsidR="001813B3" w:rsidRPr="0031621B" w:rsidRDefault="001813B3" w:rsidP="001813B3">
            <w:pPr>
              <w:spacing w:line="252" w:lineRule="auto"/>
              <w:ind w:left="89" w:right="232"/>
              <w:jc w:val="right"/>
            </w:pPr>
            <w:r>
              <w:t>$1,851</w:t>
            </w:r>
          </w:p>
        </w:tc>
        <w:tc>
          <w:tcPr>
            <w:tcW w:w="1247" w:type="dxa"/>
            <w:tcBorders>
              <w:top w:val="nil"/>
              <w:left w:val="nil"/>
              <w:bottom w:val="nil"/>
              <w:right w:val="nil"/>
            </w:tcBorders>
            <w:shd w:val="clear" w:color="auto" w:fill="DEEAF6" w:themeFill="accent1" w:themeFillTint="33"/>
          </w:tcPr>
          <w:p w14:paraId="4E9A2F7F" w14:textId="77777777" w:rsidR="001813B3" w:rsidRPr="006D22A4" w:rsidRDefault="001813B3" w:rsidP="001813B3">
            <w:pPr>
              <w:spacing w:line="252" w:lineRule="auto"/>
              <w:ind w:right="445"/>
              <w:jc w:val="right"/>
            </w:pPr>
            <w:r>
              <w:t>0.5</w:t>
            </w:r>
            <w:r w:rsidRPr="00D460C9">
              <w:t>%</w:t>
            </w:r>
          </w:p>
        </w:tc>
      </w:tr>
      <w:tr w:rsidR="001813B3" w:rsidRPr="00C41C9C" w14:paraId="5AA8D4D0" w14:textId="77777777" w:rsidTr="001813B3">
        <w:trPr>
          <w:trHeight w:val="288"/>
          <w:jc w:val="center"/>
        </w:trPr>
        <w:tc>
          <w:tcPr>
            <w:tcW w:w="1731"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4DF1CC5D" w14:textId="77777777" w:rsidR="001813B3" w:rsidRPr="00AE3EB4" w:rsidRDefault="001813B3" w:rsidP="001813B3">
            <w:pPr>
              <w:spacing w:line="252" w:lineRule="auto"/>
              <w:ind w:left="62" w:right="51"/>
              <w:rPr>
                <w:sz w:val="21"/>
                <w:szCs w:val="21"/>
              </w:rPr>
            </w:pPr>
            <w:r w:rsidRPr="00AE3EB4">
              <w:rPr>
                <w:sz w:val="21"/>
                <w:szCs w:val="21"/>
              </w:rPr>
              <w:t>Metro Area Avg</w:t>
            </w:r>
          </w:p>
        </w:tc>
        <w:tc>
          <w:tcPr>
            <w:tcW w:w="1269" w:type="dxa"/>
            <w:tcBorders>
              <w:top w:val="single" w:sz="4" w:space="0" w:color="auto"/>
              <w:left w:val="nil"/>
              <w:bottom w:val="nil"/>
              <w:right w:val="nil"/>
            </w:tcBorders>
            <w:shd w:val="clear" w:color="auto" w:fill="auto"/>
            <w:tcMar>
              <w:top w:w="0" w:type="dxa"/>
              <w:left w:w="108" w:type="dxa"/>
              <w:bottom w:w="0" w:type="dxa"/>
              <w:right w:w="108" w:type="dxa"/>
            </w:tcMar>
          </w:tcPr>
          <w:p w14:paraId="5039E10E" w14:textId="77777777" w:rsidR="001813B3" w:rsidRPr="0031621B" w:rsidRDefault="001813B3" w:rsidP="001813B3">
            <w:pPr>
              <w:spacing w:line="252" w:lineRule="auto"/>
              <w:ind w:left="44" w:right="62"/>
            </w:pPr>
            <w:r>
              <w:t>$304,537</w:t>
            </w:r>
          </w:p>
        </w:tc>
        <w:tc>
          <w:tcPr>
            <w:tcW w:w="1052" w:type="dxa"/>
            <w:tcBorders>
              <w:top w:val="single" w:sz="4" w:space="0" w:color="auto"/>
              <w:left w:val="nil"/>
              <w:bottom w:val="nil"/>
              <w:right w:val="nil"/>
            </w:tcBorders>
            <w:shd w:val="clear" w:color="auto" w:fill="auto"/>
            <w:tcMar>
              <w:top w:w="0" w:type="dxa"/>
              <w:left w:w="108" w:type="dxa"/>
              <w:bottom w:w="0" w:type="dxa"/>
              <w:right w:w="108" w:type="dxa"/>
            </w:tcMar>
          </w:tcPr>
          <w:p w14:paraId="577BA4AF" w14:textId="77777777" w:rsidR="001813B3" w:rsidRPr="0031621B" w:rsidRDefault="001813B3" w:rsidP="001813B3">
            <w:pPr>
              <w:spacing w:line="252" w:lineRule="auto"/>
              <w:ind w:right="-23"/>
            </w:pPr>
            <w:r>
              <w:t>$325,309</w:t>
            </w:r>
          </w:p>
        </w:tc>
        <w:tc>
          <w:tcPr>
            <w:tcW w:w="1270" w:type="dxa"/>
            <w:tcBorders>
              <w:top w:val="nil"/>
              <w:left w:val="nil"/>
              <w:bottom w:val="nil"/>
              <w:right w:val="nil"/>
            </w:tcBorders>
            <w:shd w:val="clear" w:color="auto" w:fill="auto"/>
          </w:tcPr>
          <w:p w14:paraId="3D69BC2B" w14:textId="77777777" w:rsidR="001813B3" w:rsidRPr="0031621B" w:rsidRDefault="001813B3" w:rsidP="001813B3">
            <w:pPr>
              <w:spacing w:line="252" w:lineRule="auto"/>
              <w:ind w:left="89" w:right="232"/>
              <w:jc w:val="right"/>
            </w:pPr>
            <w:r>
              <w:t>$20,772</w:t>
            </w:r>
          </w:p>
        </w:tc>
        <w:tc>
          <w:tcPr>
            <w:tcW w:w="1247" w:type="dxa"/>
            <w:tcBorders>
              <w:top w:val="nil"/>
              <w:left w:val="nil"/>
              <w:bottom w:val="nil"/>
              <w:right w:val="nil"/>
            </w:tcBorders>
          </w:tcPr>
          <w:p w14:paraId="1C649B5C" w14:textId="77777777" w:rsidR="001813B3" w:rsidRPr="00C41C9C" w:rsidRDefault="001813B3" w:rsidP="001813B3">
            <w:pPr>
              <w:spacing w:line="252" w:lineRule="auto"/>
              <w:ind w:right="445"/>
              <w:jc w:val="right"/>
            </w:pPr>
            <w:r>
              <w:t>6.8</w:t>
            </w:r>
            <w:r w:rsidRPr="00D460C9">
              <w:t>%</w:t>
            </w:r>
          </w:p>
        </w:tc>
      </w:tr>
      <w:tr w:rsidR="001813B3" w:rsidRPr="00C41C9C" w14:paraId="191D2417" w14:textId="77777777" w:rsidTr="001813B3">
        <w:trPr>
          <w:trHeight w:val="179"/>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9F918D7" w14:textId="77777777" w:rsidR="001813B3" w:rsidRPr="00156337" w:rsidRDefault="001813B3" w:rsidP="001813B3">
            <w:pPr>
              <w:spacing w:line="252" w:lineRule="auto"/>
              <w:ind w:left="62" w:right="51"/>
              <w:rPr>
                <w:sz w:val="10"/>
                <w:szCs w:val="10"/>
              </w:rPr>
            </w:pP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43AAB74" w14:textId="77777777" w:rsidR="001813B3" w:rsidRPr="00156337" w:rsidRDefault="001813B3" w:rsidP="001813B3">
            <w:pPr>
              <w:spacing w:line="252" w:lineRule="auto"/>
              <w:ind w:left="44" w:right="62"/>
              <w:rPr>
                <w:sz w:val="10"/>
                <w:szCs w:val="10"/>
              </w:rPr>
            </w:pP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9D02F38" w14:textId="77777777" w:rsidR="001813B3" w:rsidRPr="00156337" w:rsidRDefault="001813B3" w:rsidP="001813B3">
            <w:pPr>
              <w:spacing w:line="252" w:lineRule="auto"/>
              <w:ind w:right="-23"/>
              <w:rPr>
                <w:sz w:val="10"/>
                <w:szCs w:val="10"/>
              </w:rPr>
            </w:pPr>
          </w:p>
        </w:tc>
        <w:tc>
          <w:tcPr>
            <w:tcW w:w="1270" w:type="dxa"/>
            <w:tcBorders>
              <w:top w:val="nil"/>
              <w:left w:val="nil"/>
              <w:bottom w:val="nil"/>
              <w:right w:val="nil"/>
            </w:tcBorders>
            <w:shd w:val="clear" w:color="auto" w:fill="DEEAF6" w:themeFill="accent1" w:themeFillTint="33"/>
            <w:vAlign w:val="center"/>
          </w:tcPr>
          <w:p w14:paraId="22B06C62" w14:textId="77777777" w:rsidR="001813B3" w:rsidRPr="00156337" w:rsidRDefault="001813B3" w:rsidP="001813B3">
            <w:pPr>
              <w:spacing w:line="252" w:lineRule="auto"/>
              <w:ind w:left="89" w:right="232"/>
              <w:jc w:val="right"/>
              <w:rPr>
                <w:sz w:val="10"/>
                <w:szCs w:val="10"/>
              </w:rPr>
            </w:pPr>
          </w:p>
        </w:tc>
        <w:tc>
          <w:tcPr>
            <w:tcW w:w="1247" w:type="dxa"/>
            <w:tcBorders>
              <w:top w:val="nil"/>
              <w:left w:val="nil"/>
              <w:bottom w:val="nil"/>
              <w:right w:val="nil"/>
            </w:tcBorders>
            <w:shd w:val="clear" w:color="auto" w:fill="DEEAF6" w:themeFill="accent1" w:themeFillTint="33"/>
            <w:vAlign w:val="center"/>
          </w:tcPr>
          <w:p w14:paraId="653ABACC" w14:textId="77777777" w:rsidR="001813B3" w:rsidRPr="00156337" w:rsidRDefault="001813B3" w:rsidP="001813B3">
            <w:pPr>
              <w:spacing w:line="252" w:lineRule="auto"/>
              <w:ind w:right="445"/>
              <w:jc w:val="right"/>
              <w:rPr>
                <w:sz w:val="10"/>
                <w:szCs w:val="10"/>
              </w:rPr>
            </w:pPr>
          </w:p>
        </w:tc>
      </w:tr>
      <w:tr w:rsidR="001813B3" w:rsidRPr="00C41C9C" w14:paraId="67C4BD7C" w14:textId="77777777" w:rsidTr="001813B3">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tcPr>
          <w:p w14:paraId="0DFE4320" w14:textId="77777777" w:rsidR="001813B3" w:rsidRPr="00C41C9C" w:rsidRDefault="001813B3" w:rsidP="001813B3">
            <w:pPr>
              <w:spacing w:line="252" w:lineRule="auto"/>
              <w:ind w:left="62" w:right="51"/>
            </w:pPr>
            <w:r>
              <w:t>Racine</w:t>
            </w:r>
          </w:p>
        </w:tc>
        <w:tc>
          <w:tcPr>
            <w:tcW w:w="1269" w:type="dxa"/>
            <w:tcBorders>
              <w:top w:val="nil"/>
              <w:left w:val="nil"/>
              <w:bottom w:val="nil"/>
              <w:right w:val="nil"/>
            </w:tcBorders>
            <w:shd w:val="clear" w:color="auto" w:fill="auto"/>
            <w:tcMar>
              <w:top w:w="0" w:type="dxa"/>
              <w:left w:w="108" w:type="dxa"/>
              <w:bottom w:w="0" w:type="dxa"/>
              <w:right w:w="108" w:type="dxa"/>
            </w:tcMar>
          </w:tcPr>
          <w:p w14:paraId="6E61E203" w14:textId="77777777" w:rsidR="001813B3" w:rsidRDefault="001813B3" w:rsidP="001813B3">
            <w:pPr>
              <w:spacing w:line="252" w:lineRule="auto"/>
              <w:ind w:left="44" w:right="62"/>
            </w:pPr>
            <w:r>
              <w:t>$213,020</w:t>
            </w:r>
          </w:p>
        </w:tc>
        <w:tc>
          <w:tcPr>
            <w:tcW w:w="1052" w:type="dxa"/>
            <w:tcBorders>
              <w:top w:val="nil"/>
              <w:left w:val="nil"/>
              <w:bottom w:val="nil"/>
              <w:right w:val="nil"/>
            </w:tcBorders>
            <w:shd w:val="clear" w:color="auto" w:fill="auto"/>
            <w:tcMar>
              <w:top w:w="0" w:type="dxa"/>
              <w:left w:w="108" w:type="dxa"/>
              <w:bottom w:w="0" w:type="dxa"/>
              <w:right w:w="108" w:type="dxa"/>
            </w:tcMar>
          </w:tcPr>
          <w:p w14:paraId="3C28808E" w14:textId="77777777" w:rsidR="001813B3" w:rsidRDefault="001813B3" w:rsidP="001813B3">
            <w:pPr>
              <w:spacing w:line="252" w:lineRule="auto"/>
              <w:ind w:right="-23"/>
            </w:pPr>
            <w:r>
              <w:t>$229,132</w:t>
            </w:r>
          </w:p>
        </w:tc>
        <w:tc>
          <w:tcPr>
            <w:tcW w:w="1270" w:type="dxa"/>
            <w:tcBorders>
              <w:top w:val="nil"/>
              <w:left w:val="nil"/>
              <w:bottom w:val="nil"/>
              <w:right w:val="nil"/>
            </w:tcBorders>
            <w:shd w:val="clear" w:color="auto" w:fill="auto"/>
          </w:tcPr>
          <w:p w14:paraId="78D89DFA" w14:textId="77777777" w:rsidR="001813B3" w:rsidRDefault="001813B3" w:rsidP="001813B3">
            <w:pPr>
              <w:spacing w:line="252" w:lineRule="auto"/>
              <w:ind w:left="89" w:right="232"/>
              <w:jc w:val="right"/>
            </w:pPr>
            <w:r>
              <w:t>$16,112</w:t>
            </w:r>
          </w:p>
        </w:tc>
        <w:tc>
          <w:tcPr>
            <w:tcW w:w="1247" w:type="dxa"/>
            <w:tcBorders>
              <w:top w:val="nil"/>
              <w:left w:val="nil"/>
              <w:bottom w:val="nil"/>
              <w:right w:val="nil"/>
            </w:tcBorders>
          </w:tcPr>
          <w:p w14:paraId="29316A38" w14:textId="77777777" w:rsidR="001813B3" w:rsidRDefault="001813B3" w:rsidP="001813B3">
            <w:pPr>
              <w:spacing w:line="252" w:lineRule="auto"/>
              <w:ind w:right="445"/>
              <w:jc w:val="right"/>
            </w:pPr>
            <w:r>
              <w:t>7.6</w:t>
            </w:r>
            <w:r w:rsidRPr="00BF14B4">
              <w:t>%</w:t>
            </w:r>
          </w:p>
        </w:tc>
      </w:tr>
      <w:tr w:rsidR="001813B3" w:rsidRPr="00C41C9C" w14:paraId="0FC5408D" w14:textId="77777777" w:rsidTr="001813B3">
        <w:trPr>
          <w:trHeight w:val="288"/>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1A62168" w14:textId="77777777" w:rsidR="001813B3" w:rsidRDefault="001813B3" w:rsidP="001813B3">
            <w:pPr>
              <w:spacing w:line="252" w:lineRule="auto"/>
              <w:ind w:left="62" w:right="51"/>
            </w:pPr>
            <w:r>
              <w:t>Kenosha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5D5C40B6" w14:textId="77777777" w:rsidR="001813B3" w:rsidRDefault="001813B3" w:rsidP="001813B3">
            <w:pPr>
              <w:spacing w:line="252" w:lineRule="auto"/>
              <w:ind w:left="44" w:right="62"/>
            </w:pPr>
            <w:r>
              <w:t>$230,732</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372B6D38" w14:textId="77777777" w:rsidR="001813B3" w:rsidRDefault="001813B3" w:rsidP="001813B3">
            <w:pPr>
              <w:spacing w:line="252" w:lineRule="auto"/>
              <w:ind w:right="-23"/>
            </w:pPr>
            <w:r>
              <w:t>$250,604</w:t>
            </w:r>
          </w:p>
        </w:tc>
        <w:tc>
          <w:tcPr>
            <w:tcW w:w="1270" w:type="dxa"/>
            <w:tcBorders>
              <w:top w:val="nil"/>
              <w:left w:val="nil"/>
              <w:bottom w:val="nil"/>
              <w:right w:val="nil"/>
            </w:tcBorders>
            <w:shd w:val="clear" w:color="auto" w:fill="DEEAF6" w:themeFill="accent1" w:themeFillTint="33"/>
          </w:tcPr>
          <w:p w14:paraId="1809E040" w14:textId="77777777" w:rsidR="001813B3" w:rsidRDefault="001813B3" w:rsidP="001813B3">
            <w:pPr>
              <w:spacing w:line="252" w:lineRule="auto"/>
              <w:ind w:left="89" w:right="232"/>
              <w:jc w:val="right"/>
            </w:pPr>
            <w:r>
              <w:t>$19,872</w:t>
            </w:r>
          </w:p>
        </w:tc>
        <w:tc>
          <w:tcPr>
            <w:tcW w:w="1247" w:type="dxa"/>
            <w:tcBorders>
              <w:top w:val="nil"/>
              <w:left w:val="nil"/>
              <w:bottom w:val="nil"/>
              <w:right w:val="nil"/>
            </w:tcBorders>
            <w:shd w:val="clear" w:color="auto" w:fill="DEEAF6" w:themeFill="accent1" w:themeFillTint="33"/>
          </w:tcPr>
          <w:p w14:paraId="4DECC819" w14:textId="77777777" w:rsidR="001813B3" w:rsidRDefault="001813B3" w:rsidP="001813B3">
            <w:pPr>
              <w:spacing w:line="252" w:lineRule="auto"/>
              <w:ind w:right="445"/>
              <w:jc w:val="right"/>
            </w:pPr>
            <w:r>
              <w:t>8.6</w:t>
            </w:r>
            <w:r w:rsidRPr="00BF14B4">
              <w:t>%</w:t>
            </w:r>
          </w:p>
        </w:tc>
      </w:tr>
      <w:tr w:rsidR="001813B3" w:rsidRPr="00C41C9C" w14:paraId="5E0A5E98" w14:textId="77777777" w:rsidTr="001813B3">
        <w:trPr>
          <w:trHeight w:val="288"/>
          <w:jc w:val="center"/>
        </w:trPr>
        <w:tc>
          <w:tcPr>
            <w:tcW w:w="1731"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1D4A100E" w14:textId="77777777" w:rsidR="001813B3" w:rsidRDefault="001813B3" w:rsidP="001813B3">
            <w:pPr>
              <w:spacing w:line="252" w:lineRule="auto"/>
              <w:ind w:left="62" w:right="51"/>
            </w:pPr>
            <w:r>
              <w:t>Walworth</w:t>
            </w:r>
          </w:p>
        </w:tc>
        <w:tc>
          <w:tcPr>
            <w:tcW w:w="1269" w:type="dxa"/>
            <w:tcBorders>
              <w:top w:val="nil"/>
              <w:left w:val="nil"/>
              <w:bottom w:val="single" w:sz="4" w:space="0" w:color="auto"/>
              <w:right w:val="nil"/>
            </w:tcBorders>
            <w:shd w:val="clear" w:color="auto" w:fill="auto"/>
            <w:tcMar>
              <w:top w:w="0" w:type="dxa"/>
              <w:left w:w="108" w:type="dxa"/>
              <w:bottom w:w="0" w:type="dxa"/>
              <w:right w:w="108" w:type="dxa"/>
            </w:tcMar>
          </w:tcPr>
          <w:p w14:paraId="3D56B0B8" w14:textId="77777777" w:rsidR="001813B3" w:rsidRDefault="001813B3" w:rsidP="001813B3">
            <w:pPr>
              <w:spacing w:line="252" w:lineRule="auto"/>
              <w:ind w:left="44" w:right="62"/>
            </w:pPr>
            <w:r>
              <w:t>$308,705</w:t>
            </w:r>
          </w:p>
        </w:tc>
        <w:tc>
          <w:tcPr>
            <w:tcW w:w="1052" w:type="dxa"/>
            <w:tcBorders>
              <w:top w:val="nil"/>
              <w:left w:val="nil"/>
              <w:bottom w:val="single" w:sz="4" w:space="0" w:color="auto"/>
              <w:right w:val="nil"/>
            </w:tcBorders>
            <w:shd w:val="clear" w:color="auto" w:fill="auto"/>
            <w:tcMar>
              <w:top w:w="0" w:type="dxa"/>
              <w:left w:w="108" w:type="dxa"/>
              <w:bottom w:w="0" w:type="dxa"/>
              <w:right w:w="108" w:type="dxa"/>
            </w:tcMar>
          </w:tcPr>
          <w:p w14:paraId="41C64F32" w14:textId="77777777" w:rsidR="001813B3" w:rsidRDefault="001813B3" w:rsidP="001813B3">
            <w:pPr>
              <w:spacing w:line="252" w:lineRule="auto"/>
              <w:ind w:right="-23"/>
            </w:pPr>
            <w:r>
              <w:t>$378,487</w:t>
            </w:r>
          </w:p>
        </w:tc>
        <w:tc>
          <w:tcPr>
            <w:tcW w:w="1270" w:type="dxa"/>
            <w:tcBorders>
              <w:top w:val="nil"/>
              <w:left w:val="nil"/>
              <w:bottom w:val="nil"/>
              <w:right w:val="nil"/>
            </w:tcBorders>
            <w:shd w:val="clear" w:color="auto" w:fill="auto"/>
          </w:tcPr>
          <w:p w14:paraId="6FD90E86" w14:textId="77777777" w:rsidR="001813B3" w:rsidRDefault="001813B3" w:rsidP="001813B3">
            <w:pPr>
              <w:spacing w:line="252" w:lineRule="auto"/>
              <w:ind w:left="89" w:right="232"/>
              <w:jc w:val="right"/>
            </w:pPr>
            <w:r>
              <w:t>$69,782</w:t>
            </w:r>
          </w:p>
        </w:tc>
        <w:tc>
          <w:tcPr>
            <w:tcW w:w="1247" w:type="dxa"/>
            <w:tcBorders>
              <w:top w:val="nil"/>
              <w:left w:val="nil"/>
              <w:bottom w:val="nil"/>
              <w:right w:val="nil"/>
            </w:tcBorders>
          </w:tcPr>
          <w:p w14:paraId="750F10F4" w14:textId="77777777" w:rsidR="001813B3" w:rsidRDefault="001813B3" w:rsidP="001813B3">
            <w:pPr>
              <w:spacing w:line="252" w:lineRule="auto"/>
              <w:ind w:right="445"/>
              <w:jc w:val="right"/>
            </w:pPr>
            <w:r>
              <w:t>22.6</w:t>
            </w:r>
            <w:r w:rsidRPr="00BF14B4">
              <w:t>%</w:t>
            </w:r>
          </w:p>
        </w:tc>
      </w:tr>
      <w:tr w:rsidR="001813B3" w:rsidRPr="00C41C9C" w14:paraId="15B5BB9D" w14:textId="77777777" w:rsidTr="001813B3">
        <w:trPr>
          <w:trHeight w:val="288"/>
          <w:jc w:val="center"/>
        </w:trPr>
        <w:tc>
          <w:tcPr>
            <w:tcW w:w="1731"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EDBD418" w14:textId="77777777" w:rsidR="001813B3" w:rsidRDefault="001813B3" w:rsidP="001813B3">
            <w:pPr>
              <w:spacing w:line="252" w:lineRule="auto"/>
              <w:ind w:left="62" w:right="51"/>
            </w:pPr>
            <w:r>
              <w:t>SE WI Area Avg</w:t>
            </w:r>
          </w:p>
        </w:tc>
        <w:tc>
          <w:tcPr>
            <w:tcW w:w="126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6264859E" w14:textId="77777777" w:rsidR="001813B3" w:rsidRDefault="001813B3" w:rsidP="001813B3">
            <w:pPr>
              <w:spacing w:line="252" w:lineRule="auto"/>
              <w:ind w:left="44" w:right="62"/>
            </w:pPr>
            <w:r>
              <w:t>$281,515</w:t>
            </w:r>
          </w:p>
        </w:tc>
        <w:tc>
          <w:tcPr>
            <w:tcW w:w="10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4566E3A0" w14:textId="77777777" w:rsidR="001813B3" w:rsidRDefault="001813B3" w:rsidP="001813B3">
            <w:pPr>
              <w:spacing w:line="252" w:lineRule="auto"/>
              <w:ind w:right="-23"/>
            </w:pPr>
            <w:r>
              <w:t>$308,494</w:t>
            </w:r>
          </w:p>
        </w:tc>
        <w:tc>
          <w:tcPr>
            <w:tcW w:w="1270" w:type="dxa"/>
            <w:tcBorders>
              <w:top w:val="nil"/>
              <w:left w:val="nil"/>
              <w:bottom w:val="nil"/>
              <w:right w:val="nil"/>
            </w:tcBorders>
            <w:shd w:val="clear" w:color="auto" w:fill="DEEAF6" w:themeFill="accent1" w:themeFillTint="33"/>
          </w:tcPr>
          <w:p w14:paraId="17375A2D" w14:textId="77777777" w:rsidR="001813B3" w:rsidRDefault="001813B3" w:rsidP="001813B3">
            <w:pPr>
              <w:spacing w:line="252" w:lineRule="auto"/>
              <w:ind w:left="89" w:right="232"/>
              <w:jc w:val="right"/>
            </w:pPr>
            <w:r>
              <w:t>$26,979</w:t>
            </w:r>
          </w:p>
        </w:tc>
        <w:tc>
          <w:tcPr>
            <w:tcW w:w="1247" w:type="dxa"/>
            <w:tcBorders>
              <w:top w:val="nil"/>
              <w:left w:val="nil"/>
              <w:bottom w:val="nil"/>
              <w:right w:val="nil"/>
            </w:tcBorders>
            <w:shd w:val="clear" w:color="auto" w:fill="DEEAF6" w:themeFill="accent1" w:themeFillTint="33"/>
          </w:tcPr>
          <w:p w14:paraId="418B3D26" w14:textId="77777777" w:rsidR="001813B3" w:rsidRDefault="001813B3" w:rsidP="001813B3">
            <w:pPr>
              <w:spacing w:line="252" w:lineRule="auto"/>
              <w:ind w:right="445"/>
              <w:jc w:val="right"/>
            </w:pPr>
            <w:r>
              <w:t>9.6</w:t>
            </w:r>
            <w:r w:rsidRPr="00BF14B4">
              <w:t>%</w:t>
            </w:r>
          </w:p>
        </w:tc>
      </w:tr>
    </w:tbl>
    <w:p w14:paraId="3E1120EF" w14:textId="243061C5" w:rsidR="001813B3" w:rsidRDefault="001813B3" w:rsidP="008E494E">
      <w:pPr>
        <w:spacing w:before="120" w:after="120"/>
        <w:ind w:left="-360" w:right="-360"/>
        <w:contextualSpacing/>
      </w:pPr>
    </w:p>
    <w:p w14:paraId="6FEE1462" w14:textId="18383A72" w:rsidR="0059459C" w:rsidRDefault="0059459C" w:rsidP="008E494E">
      <w:pPr>
        <w:spacing w:before="120" w:after="120"/>
        <w:ind w:left="-360" w:right="-360"/>
        <w:contextualSpacing/>
      </w:pPr>
    </w:p>
    <w:p w14:paraId="7C02A6EE" w14:textId="18C66E77" w:rsidR="00176044" w:rsidRDefault="0059459C" w:rsidP="00176044">
      <w:pPr>
        <w:spacing w:before="120" w:after="120"/>
        <w:ind w:left="-360" w:right="-360"/>
        <w:contextualSpacing/>
        <w:jc w:val="center"/>
      </w:pPr>
      <w:r>
        <w:rPr>
          <w:noProof/>
        </w:rPr>
        <mc:AlternateContent>
          <mc:Choice Requires="wps">
            <w:drawing>
              <wp:anchor distT="0" distB="0" distL="114300" distR="114300" simplePos="0" relativeHeight="251664383" behindDoc="0" locked="0" layoutInCell="1" allowOverlap="1" wp14:anchorId="65417F37" wp14:editId="57AF1896">
                <wp:simplePos x="0" y="0"/>
                <wp:positionH relativeFrom="column">
                  <wp:posOffset>3190875</wp:posOffset>
                </wp:positionH>
                <wp:positionV relativeFrom="paragraph">
                  <wp:posOffset>847090</wp:posOffset>
                </wp:positionV>
                <wp:extent cx="1238250" cy="2952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4D8DDA0" w14:textId="0F6261D3" w:rsidR="0059459C" w:rsidRPr="0059459C" w:rsidRDefault="0059459C">
                            <w:pPr>
                              <w:rPr>
                                <w:sz w:val="20"/>
                                <w:szCs w:val="20"/>
                              </w:rPr>
                            </w:pPr>
                            <w:r w:rsidRPr="0059459C">
                              <w:rPr>
                                <w:sz w:val="20"/>
                                <w:szCs w:val="20"/>
                              </w:rPr>
                              <w:t>10 Years to Recover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17F37" id="Text Box 20" o:spid="_x0000_s1030" type="#_x0000_t202" style="position:absolute;left:0;text-align:left;margin-left:251.25pt;margin-top:66.7pt;width:97.5pt;height:23.25pt;z-index:2516643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s3QwIAAIIEAAAOAAAAZHJzL2Uyb0RvYy54bWysVMtu2zAQvBfoPxC817IVOw/DcuA6SFEg&#10;SALERc40RdkCKC5L0pbcr++QsvNqT0UvFLm7HO7O7Gp23TWa7ZXzNZmCjwZDzpSRVNZmU/Afq9sv&#10;l5z5IEwpNBlV8IPy/Hr++dOstVOV05Z0qRwDiPHT1hZ8G4KdZpmXW9UIPyCrDJwVuUYEHN0mK51o&#10;gd7oLB8Oz7OWXGkdSeU9rDe9k88TflUpGR6qyqvAdMGRW0irS+s6rtl8JqYbJ+y2lsc0xD9k0Yja&#10;4NEXqBsRBNu5+g+oppaOPFVhIKnJqKpqqVINqGY0/FDN01ZYlWoBOd6+0OT/H6y83z86VpcFz0GP&#10;EQ00WqkusK/UMZjAT2v9FGFPFoGhgx06n+wexlh2V7kmflEQgx9Qhxd2I5qMl/Kzy3wCl4Qvv5rk&#10;F5MIk73ets6Hb4oaFjcFd1AvkSr2dz70oaeQ+JgnXZe3tdbpEDtGLbVjewGtdUg5AvxdlDasLfj5&#10;GdKIlwzF6z2yNsgl1trXFHehW3eJm/Gp3jWVB9DgqG8kb+VtjVzvhA+PwqFzUB6mITxgqTThLTru&#10;ONuS+/U3e4yHoPBy1qITC+5/7oRTnOnvBlJfjcZjwIZ0GE8uolDurWf91mN2zZJAwAhzZ2Xaxvig&#10;T9vKUfOMoVnEV+ESRuLtgofTdhn6+cDQSbVYpCA0qxXhzjxZGaEjd1GJVfcsnD3KFSD0PZ16Vkw/&#10;qNbH9qwvdoGqOkkaee5ZPdKPRk9NcRzKOElvzynq9dcx/w0AAP//AwBQSwMEFAAGAAgAAAAhADm+&#10;RybhAAAACwEAAA8AAABkcnMvZG93bnJldi54bWxMj0tPhEAQhO8m/odJm3gx7uAiiyDDxhgfiTcX&#10;H/E2y7RAZHoIMwv4721PeuyqL9VVxXaxvZhw9J0jBRerCARS7UxHjYKX6v78CoQPmozuHaGCb/Sw&#10;LY+PCp0bN9MzTrvQCA4hn2sFbQhDLqWvW7Tar9yAxN6nG60OfI6NNKOeOdz2ch1FG2l1R/yh1QPe&#10;tlh/7Q5WwcdZ8/7kl4fXOU7i4e5xqtI3Uyl1erLcXIMIuIQ/GH7rc3UoudPeHch40StIonXCKBtx&#10;fAmCiU2WsrJnJc0ykGUh/28ofwAAAP//AwBQSwECLQAUAAYACAAAACEAtoM4kv4AAADhAQAAEwAA&#10;AAAAAAAAAAAAAAAAAAAAW0NvbnRlbnRfVHlwZXNdLnhtbFBLAQItABQABgAIAAAAIQA4/SH/1gAA&#10;AJQBAAALAAAAAAAAAAAAAAAAAC8BAABfcmVscy8ucmVsc1BLAQItABQABgAIAAAAIQCvzOs3QwIA&#10;AIIEAAAOAAAAAAAAAAAAAAAAAC4CAABkcnMvZTJvRG9jLnhtbFBLAQItABQABgAIAAAAIQA5vkcm&#10;4QAAAAsBAAAPAAAAAAAAAAAAAAAAAJ0EAABkcnMvZG93bnJldi54bWxQSwUGAAAAAAQABADzAAAA&#10;qwUAAAAA&#10;" fillcolor="white [3201]" stroked="f" strokeweight=".5pt">
                <v:textbox>
                  <w:txbxContent>
                    <w:p w14:paraId="34D8DDA0" w14:textId="0F6261D3" w:rsidR="0059459C" w:rsidRPr="0059459C" w:rsidRDefault="0059459C">
                      <w:pPr>
                        <w:rPr>
                          <w:sz w:val="20"/>
                          <w:szCs w:val="20"/>
                        </w:rPr>
                      </w:pPr>
                      <w:r w:rsidRPr="0059459C">
                        <w:rPr>
                          <w:sz w:val="20"/>
                          <w:szCs w:val="20"/>
                        </w:rPr>
                        <w:t>10 Years to Recover</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0F24302" wp14:editId="7EBB250E">
                <wp:simplePos x="0" y="0"/>
                <wp:positionH relativeFrom="column">
                  <wp:posOffset>2581275</wp:posOffset>
                </wp:positionH>
                <wp:positionV relativeFrom="paragraph">
                  <wp:posOffset>1056640</wp:posOffset>
                </wp:positionV>
                <wp:extent cx="22860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2286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7E4571" id="Straight Arrow Connector 17" o:spid="_x0000_s1026" type="#_x0000_t32" style="position:absolute;margin-left:203.25pt;margin-top:83.2pt;width:180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sy1AEAAAIEAAAOAAAAZHJzL2Uyb0RvYy54bWysU02P0zAQvSPxHyzfadIellXVdLXqLlwQ&#10;VCz8AK8zbiz5S+Ohaf89Y6fNIkBIIC6T2J43897zeHN38k4cAbONoZPLRSsFBB17Gw6d/Prl3Ztb&#10;KTKp0CsXA3TyDFnebV+/2oxpDas4RNcDCi4S8npMnRyI0rppsh7Aq7yICQIfmoheES/x0PSoRq7u&#10;XbNq25tmjNgnjBpy5t2H6VBua31jQNMnYzKQcJ1kblQj1vhcYrPdqPUBVRqsvtBQ/8DCKxu46Vzq&#10;QZES39D+UspbjTFHQwsdfRONsRqqBlazbH9S8zSoBFULm5PTbFP+f2X1x+Mehe357t5KEZTnO3oi&#10;VPYwkLhHjKPYxRDYx4iCU9ivMeU1w3Zhj5dVTnss4k8GffmyLHGqHp9nj+FEQvPmanV707Z8Ffp6&#10;1rwAE2Z6D9GL8tPJfCEyM1hWj9XxQyZuzcAroHR1oURS1j2GXtA5sRRCq8LBQeHN6SWlKfwnxvWP&#10;zg4m+Gcw7ARznNrUGYSdQ3FUPD1Kawi0nCtxdoEZ69wMbCu/PwIv+QUKdT7/BjwjaucYaAZ7GyL+&#10;rjudrpTNlH91YNJdLHiO/bneZbWGB616dXkUZZJ/XFf4y9PdfgcAAP//AwBQSwMEFAAGAAgAAAAh&#10;ACjOUUrdAAAACwEAAA8AAABkcnMvZG93bnJldi54bWxMj8FOwzAQRO9I/IO1SNyoQ1VCCXEqhESP&#10;IAoHenPjrR01XkexmwS+nq2EVI478zQ7U64m34oB+9gEUnA7y0Ag1cE0ZBV8frzcLEHEpMnoNhAq&#10;+MYIq+ryotSFCSO947BJVnAIxUIrcCl1hZSxduh1nIUOib196L1OfPZWml6PHO5bOc+yXHrdEH9w&#10;usNnh/Vhc/QK3uzX4Oe0buT+Yfuztq/m4Mak1PXV9PQIIuGUzjCc6nN1qLjTLhzJRNEqWGT5HaNs&#10;5PkCBBP3+UnZ/SmyKuX/DdUvAAAA//8DAFBLAQItABQABgAIAAAAIQC2gziS/gAAAOEBAAATAAAA&#10;AAAAAAAAAAAAAAAAAABbQ29udGVudF9UeXBlc10ueG1sUEsBAi0AFAAGAAgAAAAhADj9If/WAAAA&#10;lAEAAAsAAAAAAAAAAAAAAAAALwEAAF9yZWxzLy5yZWxzUEsBAi0AFAAGAAgAAAAhAE+cezLUAQAA&#10;AgQAAA4AAAAAAAAAAAAAAAAALgIAAGRycy9lMm9Eb2MueG1sUEsBAi0AFAAGAAgAAAAhACjOUUrd&#10;AAAACwEAAA8AAAAAAAAAAAAAAAAALgQAAGRycy9kb3ducmV2LnhtbFBLBQYAAAAABAAEAPMAAAA4&#10;BQAAAAA=&#10;" strokecolor="#5b9bd5 [3204]" strokeweight=".5pt">
                <v:stroke endarrow="block" joinstyle="miter"/>
              </v:shape>
            </w:pict>
          </mc:Fallback>
        </mc:AlternateContent>
      </w:r>
      <w:r w:rsidR="00176044" w:rsidRPr="00C0002D">
        <w:rPr>
          <w:noProof/>
          <w:shd w:val="clear" w:color="auto" w:fill="1F4E79"/>
        </w:rPr>
        <w:drawing>
          <wp:inline distT="0" distB="0" distL="0" distR="0" wp14:anchorId="3EDF76E0" wp14:editId="65A47B90">
            <wp:extent cx="6400800" cy="3200400"/>
            <wp:effectExtent l="0" t="0" r="0" b="0"/>
            <wp:docPr id="6" name="Chart 6">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FD5840" w14:textId="44040A2C" w:rsidR="0059459C" w:rsidRDefault="0059459C" w:rsidP="00176044">
      <w:pPr>
        <w:spacing w:before="120" w:after="120"/>
        <w:ind w:left="-360" w:right="-360"/>
        <w:contextualSpacing/>
        <w:jc w:val="center"/>
      </w:pPr>
    </w:p>
    <w:p w14:paraId="3D506500" w14:textId="1D725AA7" w:rsidR="00C0002D" w:rsidRDefault="0059459C" w:rsidP="008E494E">
      <w:pPr>
        <w:spacing w:before="120" w:after="120"/>
        <w:ind w:left="-360" w:right="-360"/>
        <w:contextualSpacing/>
      </w:pPr>
      <w:r>
        <w:rPr>
          <w:noProof/>
        </w:rPr>
        <mc:AlternateContent>
          <mc:Choice Requires="wps">
            <w:drawing>
              <wp:anchor distT="0" distB="0" distL="114300" distR="114300" simplePos="0" relativeHeight="251663358" behindDoc="0" locked="0" layoutInCell="1" allowOverlap="1" wp14:anchorId="0683A544" wp14:editId="1BE42B67">
                <wp:simplePos x="0" y="0"/>
                <wp:positionH relativeFrom="column">
                  <wp:posOffset>3143250</wp:posOffset>
                </wp:positionH>
                <wp:positionV relativeFrom="paragraph">
                  <wp:posOffset>971550</wp:posOffset>
                </wp:positionV>
                <wp:extent cx="1228725" cy="2952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noFill/>
                        </a:ln>
                      </wps:spPr>
                      <wps:txbx>
                        <w:txbxContent>
                          <w:p w14:paraId="672350A5" w14:textId="77777777" w:rsidR="0059459C" w:rsidRPr="0059459C" w:rsidRDefault="0059459C" w:rsidP="0059459C">
                            <w:pPr>
                              <w:rPr>
                                <w:sz w:val="20"/>
                                <w:szCs w:val="20"/>
                              </w:rPr>
                            </w:pPr>
                            <w:r w:rsidRPr="0059459C">
                              <w:rPr>
                                <w:sz w:val="20"/>
                                <w:szCs w:val="20"/>
                              </w:rPr>
                              <w:t>10 Years to Recover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83A544" id="Text Box 21" o:spid="_x0000_s1031" type="#_x0000_t202" style="position:absolute;left:0;text-align:left;margin-left:247.5pt;margin-top:76.5pt;width:96.75pt;height:23.25pt;z-index:2516633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uLQwIAAIIEAAAOAAAAZHJzL2Uyb0RvYy54bWysVE2P2jAQvVfqf7B8L4EUlt2IsKKsqCqh&#10;3ZWg2rNxbLDkeFzbkNBf37HDV7c9Vb049sz4eea9mUwe21qTg3BegSnpoNenRBgOlTLbkn5fLz7d&#10;U+IDMxXTYERJj8LTx+nHD5PGFiKHHehKOIIgxheNLekuBFtkmec7UTPfAysMOiW4mgU8um1WOdYg&#10;eq2zvN+/yxpwlXXAhfdofeqcdJrwpRQ8vEjpRSC6pJhbSKtL6yau2XTCiq1jdqf4KQ32D1nUTBl8&#10;9AL1xAIje6f+gKoVd+BBhh6HOgMpFRepBqxm0H9XzWrHrEi1IDneXmjy/w+WPx9eHVFVSfMBJYbV&#10;qNFatIF8gZagCflprC8wbGUxMLRoR53Pdo/GWHYrXR2/WBBBPzJ9vLAb0Xi8lOf343xECUdf/jDK&#10;x6MIk11vW+fDVwE1iZuSOlQvkcoOSx+60HNIfMyDVtVCaZ0OsWPEXDtyYKi1DilHBP8tShvSlPTu&#10;86ifgA3E6x2yNphLrLWrKe5Cu2kTNynRaNlAdUQaHHSN5C1fKMx1yXx4ZQ47ByvHaQgvuEgN+Bac&#10;dpTswP38mz3Go6DopaTBTiyp/7FnTlCivxmU+mEwHMbWTYfhaJzjwd16Nrces6/ngASgmphd2sb4&#10;oM9b6aB+w6GZxVfRxQzHt0saztt56OYDh46L2SwFYbNaFpZmZXmEjoRHJdbtG3P2JFdAoZ/h3LOs&#10;eKdaFxtvGpjtA0iVJL2yeqIfGz01xWko4yTdnlPU9dcx/QUAAP//AwBQSwMEFAAGAAgAAAAhAHuC&#10;GH3hAAAACwEAAA8AAABkcnMvZG93bnJldi54bWxMj09PhDAQxe8mfodmTLwYtyiyAlI2xqibeHPx&#10;T7x16QhEOiW0C/jtHU96m5n38ub3is1iezHh6DtHCi5WEQik2pmOGgUv1cN5CsIHTUb3jlDBN3rY&#10;lMdHhc6Nm+kZp11oBIeQz7WCNoQhl9LXLVrtV25AYu3TjVYHXsdGmlHPHG57eRlFa2l1R/yh1QPe&#10;tVh/7Q5WwcdZ8/7kl8fXOU7i4X47VddvplLq9GS5vQERcAl/ZvjFZ3QomWnvDmS86BVcZQl3CSwk&#10;MQ/sWKdpAmLPlyxLQJaF/N+h/AEAAP//AwBQSwECLQAUAAYACAAAACEAtoM4kv4AAADhAQAAEwAA&#10;AAAAAAAAAAAAAAAAAAAAW0NvbnRlbnRfVHlwZXNdLnhtbFBLAQItABQABgAIAAAAIQA4/SH/1gAA&#10;AJQBAAALAAAAAAAAAAAAAAAAAC8BAABfcmVscy8ucmVsc1BLAQItABQABgAIAAAAIQD08NuLQwIA&#10;AIIEAAAOAAAAAAAAAAAAAAAAAC4CAABkcnMvZTJvRG9jLnhtbFBLAQItABQABgAIAAAAIQB7ghh9&#10;4QAAAAsBAAAPAAAAAAAAAAAAAAAAAJ0EAABkcnMvZG93bnJldi54bWxQSwUGAAAAAAQABADzAAAA&#10;qwUAAAAA&#10;" fillcolor="white [3201]" stroked="f" strokeweight=".5pt">
                <v:textbox>
                  <w:txbxContent>
                    <w:p w14:paraId="672350A5" w14:textId="77777777" w:rsidR="0059459C" w:rsidRPr="0059459C" w:rsidRDefault="0059459C" w:rsidP="0059459C">
                      <w:pPr>
                        <w:rPr>
                          <w:sz w:val="20"/>
                          <w:szCs w:val="20"/>
                        </w:rPr>
                      </w:pPr>
                      <w:r w:rsidRPr="0059459C">
                        <w:rPr>
                          <w:sz w:val="20"/>
                          <w:szCs w:val="20"/>
                        </w:rPr>
                        <w:t>10 Years to Recover</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98FA0CB" wp14:editId="2F8748EC">
                <wp:simplePos x="0" y="0"/>
                <wp:positionH relativeFrom="column">
                  <wp:posOffset>2569845</wp:posOffset>
                </wp:positionH>
                <wp:positionV relativeFrom="paragraph">
                  <wp:posOffset>1190625</wp:posOffset>
                </wp:positionV>
                <wp:extent cx="22860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2286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27793D" id="Straight Arrow Connector 18" o:spid="_x0000_s1026" type="#_x0000_t32" style="position:absolute;margin-left:202.35pt;margin-top:93.75pt;width:180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p91AEAAAIEAAAOAAAAZHJzL2Uyb0RvYy54bWysU02P0zAQvSPxH6zcadIeVquo6WrVBS4I&#10;KhZ+gNcZN5b8pfHQNP+esdNmEYuQQHtxYnvezHtvxtu7s7PiBJhM8F21XjWVAK9Cb/yxq75/+/Du&#10;thKJpO+lDR66aoJU3e3evtmOsYVNGILtAQUn8akdY1cNRLGt66QGcDKtQgTPlzqgk8RbPNY9ypGz&#10;O1tvmuamHgP2EYOClPj0Yb6sdiW/1qDoi9YJSNiuYm5UVizrU17r3Va2R5RxMOpCQ/4HCyeN56JL&#10;qgdJUvxA8yKVMwpDCppWKrg6aG0UFA2sZt38puZxkBGKFjYnxcWm9Hpp1efTAYXpuXfcKS8d9+iR&#10;UJrjQOIeMYxiH7xnHwMKDmG/xphahu39AS+7FA+YxZ81uvxlWeJcPJ4Wj+FMQvHhZnN70zTcCnW9&#10;q5+BERN9hOBE/umqdCGyMFgXj+XpUyIuzcArIFe1Pq8kjX3ve0FTZCmERvqjhcybw3NInfnPjMsf&#10;TRZm+FfQ7ARznMuUGYS9RXGSPD1SKfC0XjJxdIZpY+0CbAq/vwIv8RkKZT7/BbwgSuXgaQE74wP+&#10;qTqdr5T1HH91YNadLXgK/VR6WazhQSteXR5FnuRf9wX+/HR3PwEAAP//AwBQSwMEFAAGAAgAAAAh&#10;ANmS+qvdAAAACwEAAA8AAABkcnMvZG93bnJldi54bWxMj8FOwzAQRO9I/IO1SNyoQ1WaEuJUCIke&#10;QRQOcHPjrR01XkexmwS+nq2EVI478zQ7U64n34oB+9gEUnA7y0Ag1cE0ZBV8vD/frEDEpMnoNhAq&#10;+MYI6+ryotSFCSO94bBNVnAIxUIrcCl1hZSxduh1nIUOib196L1OfPZWml6PHO5bOc+ypfS6If7g&#10;dIdPDuvD9ugVvNrPwc9p08j9/dfPxr6YgxuTUtdX0+MDiIRTOsNwqs/VoeJOu3AkE0WrYJEtckbZ&#10;WOV3IJjIlydl96fIqpT/N1S/AAAA//8DAFBLAQItABQABgAIAAAAIQC2gziS/gAAAOEBAAATAAAA&#10;AAAAAAAAAAAAAAAAAABbQ29udGVudF9UeXBlc10ueG1sUEsBAi0AFAAGAAgAAAAhADj9If/WAAAA&#10;lAEAAAsAAAAAAAAAAAAAAAAALwEAAF9yZWxzLy5yZWxzUEsBAi0AFAAGAAgAAAAhAEZqSn3UAQAA&#10;AgQAAA4AAAAAAAAAAAAAAAAALgIAAGRycy9lMm9Eb2MueG1sUEsBAi0AFAAGAAgAAAAhANmS+qvd&#10;AAAACwEAAA8AAAAAAAAAAAAAAAAALgQAAGRycy9kb3ducmV2LnhtbFBLBQYAAAAABAAEAPMAAAA4&#10;BQAAAAA=&#10;" strokecolor="#5b9bd5 [3204]" strokeweight=".5pt">
                <v:stroke endarrow="block" joinstyle="miter"/>
              </v:shape>
            </w:pict>
          </mc:Fallback>
        </mc:AlternateContent>
      </w:r>
      <w:r w:rsidR="00C334B0" w:rsidRPr="00C334B0">
        <w:rPr>
          <w:noProof/>
          <w:shd w:val="clear" w:color="auto" w:fill="DEEAF6" w:themeFill="accent1" w:themeFillTint="33"/>
        </w:rPr>
        <w:drawing>
          <wp:inline distT="0" distB="0" distL="0" distR="0" wp14:anchorId="52FCE142" wp14:editId="5A13BEE4">
            <wp:extent cx="6400800" cy="3200400"/>
            <wp:effectExtent l="0" t="0" r="0" b="0"/>
            <wp:docPr id="16" name="Chart 16">
              <a:extLst xmlns:a="http://schemas.openxmlformats.org/drawingml/2006/main">
                <a:ext uri="{FF2B5EF4-FFF2-40B4-BE49-F238E27FC236}">
                  <a16:creationId xmlns:a16="http://schemas.microsoft.com/office/drawing/2014/main" id="{98815FD6-83CC-488E-B25C-C24293664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AF324F" w14:textId="4AFE1F6C" w:rsidR="00752249" w:rsidRDefault="0060287B" w:rsidP="00752249">
      <w:pPr>
        <w:spacing w:before="120" w:after="120"/>
        <w:ind w:left="-360" w:right="-360"/>
        <w:contextualSpacing/>
      </w:pPr>
      <w:r w:rsidRPr="0060287B">
        <w:rPr>
          <w:b/>
          <w:bCs/>
          <w:u w:val="single"/>
        </w:rPr>
        <w:lastRenderedPageBreak/>
        <w:t>Inventory</w:t>
      </w:r>
      <w:r w:rsidRPr="0031621B">
        <w:t xml:space="preserve"> </w:t>
      </w:r>
    </w:p>
    <w:p w14:paraId="5C0C5214" w14:textId="385DC6EC" w:rsidR="0080655E" w:rsidRPr="00752249" w:rsidRDefault="00752249" w:rsidP="00752249">
      <w:pPr>
        <w:spacing w:before="120" w:after="120"/>
        <w:ind w:left="-360" w:right="-360"/>
        <w:contextualSpacing/>
        <w:rPr>
          <w:b/>
          <w:bCs/>
          <w:u w:val="single"/>
        </w:rPr>
      </w:pPr>
      <w:r w:rsidRPr="00752249">
        <w:t>Seasonally</w:t>
      </w:r>
      <w:r>
        <w:t xml:space="preserve"> </w:t>
      </w:r>
      <w:r w:rsidR="0060287B" w:rsidRPr="0031621B">
        <w:t>adjusted inventory is calculated by taking the homes available for sale in each month and comparing them to the past 12 months’ average sales.  This tells us how many months it would take to sell the existing homes on the market</w:t>
      </w:r>
      <w:r w:rsidR="00F67F9D">
        <w:t>.</w:t>
      </w:r>
      <w:r w:rsidR="00435320">
        <w:t xml:space="preserve"> </w:t>
      </w:r>
      <w:r w:rsidR="0060287B" w:rsidRPr="0031621B">
        <w:t xml:space="preserve">The seasonally adjusted </w:t>
      </w:r>
      <w:r w:rsidR="0060287B" w:rsidRPr="00435320">
        <w:rPr>
          <w:b/>
          <w:bCs/>
        </w:rPr>
        <w:t xml:space="preserve">inventory level for </w:t>
      </w:r>
      <w:r w:rsidR="00E5715D" w:rsidRPr="00435320">
        <w:rPr>
          <w:b/>
          <w:bCs/>
        </w:rPr>
        <w:t>December</w:t>
      </w:r>
      <w:r w:rsidR="0060287B" w:rsidRPr="00435320">
        <w:rPr>
          <w:b/>
          <w:bCs/>
        </w:rPr>
        <w:t xml:space="preserve"> was </w:t>
      </w:r>
      <w:r w:rsidR="00435320" w:rsidRPr="00435320">
        <w:rPr>
          <w:b/>
          <w:bCs/>
        </w:rPr>
        <w:t>2</w:t>
      </w:r>
      <w:r w:rsidR="0060287B" w:rsidRPr="00435320">
        <w:rPr>
          <w:b/>
          <w:bCs/>
        </w:rPr>
        <w:t>.</w:t>
      </w:r>
      <w:r w:rsidR="00435320" w:rsidRPr="00435320">
        <w:rPr>
          <w:b/>
          <w:bCs/>
        </w:rPr>
        <w:t>0</w:t>
      </w:r>
      <w:r w:rsidR="0060287B" w:rsidRPr="00435320">
        <w:rPr>
          <w:b/>
          <w:bCs/>
        </w:rPr>
        <w:t xml:space="preserve"> months</w:t>
      </w:r>
      <w:r w:rsidR="0080655E">
        <w:t>.</w:t>
      </w:r>
      <w:r w:rsidR="00F67F9D">
        <w:t xml:space="preserve"> </w:t>
      </w:r>
    </w:p>
    <w:p w14:paraId="7A3D4A30" w14:textId="12085C43" w:rsidR="0060287B" w:rsidRDefault="00C0002D" w:rsidP="0060287B">
      <w:pPr>
        <w:spacing w:before="120" w:after="120"/>
        <w:ind w:left="-360" w:right="-360"/>
        <w:contextualSpacing/>
      </w:pPr>
      <w:r>
        <w:rPr>
          <w:noProof/>
        </w:rPr>
        <w:drawing>
          <wp:anchor distT="0" distB="0" distL="114300" distR="182880" simplePos="0" relativeHeight="251680768" behindDoc="0" locked="0" layoutInCell="1" allowOverlap="1" wp14:anchorId="15A6605D" wp14:editId="7552544F">
            <wp:simplePos x="0" y="0"/>
            <wp:positionH relativeFrom="column">
              <wp:posOffset>-257810</wp:posOffset>
            </wp:positionH>
            <wp:positionV relativeFrom="paragraph">
              <wp:posOffset>109220</wp:posOffset>
            </wp:positionV>
            <wp:extent cx="4572000" cy="2743200"/>
            <wp:effectExtent l="0" t="0" r="0" b="0"/>
            <wp:wrapSquare wrapText="bothSides"/>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2B83732" w14:textId="7BF32E93" w:rsidR="0080655E" w:rsidRPr="0031621B" w:rsidRDefault="0080655E" w:rsidP="0080655E">
      <w:pPr>
        <w:spacing w:before="120" w:after="120"/>
        <w:ind w:left="-360" w:right="-360"/>
        <w:contextualSpacing/>
      </w:pPr>
      <w:r>
        <w:t xml:space="preserve">If we </w:t>
      </w:r>
      <w:r w:rsidRPr="0031621B">
        <w:t>subtract</w:t>
      </w:r>
      <w:r>
        <w:t xml:space="preserve"> </w:t>
      </w:r>
      <w:r w:rsidRPr="0031621B">
        <w:t>the listings that have an “active offer” from those available for sale in each month</w:t>
      </w:r>
      <w:r>
        <w:t xml:space="preserve"> (a</w:t>
      </w:r>
      <w:r w:rsidRPr="0031621B">
        <w:t>pproximately 8</w:t>
      </w:r>
      <w:r>
        <w:t xml:space="preserve">0% of </w:t>
      </w:r>
      <w:r w:rsidRPr="0031621B">
        <w:t xml:space="preserve">listings </w:t>
      </w:r>
      <w:r>
        <w:t xml:space="preserve">with </w:t>
      </w:r>
      <w:r w:rsidRPr="0031621B">
        <w:t xml:space="preserve">an offer </w:t>
      </w:r>
      <w:r w:rsidR="00F67F9D">
        <w:t xml:space="preserve">turn into a </w:t>
      </w:r>
      <w:r>
        <w:t>sale)</w:t>
      </w:r>
      <w:r w:rsidR="00752249">
        <w:t>, we</w:t>
      </w:r>
      <w:r w:rsidRPr="0031621B">
        <w:t xml:space="preserve"> g</w:t>
      </w:r>
      <w:r w:rsidR="00752249">
        <w:t>et</w:t>
      </w:r>
      <w:r w:rsidRPr="0031621B">
        <w:t xml:space="preserve"> a different perspective of the quantity of homes available on the market</w:t>
      </w:r>
      <w:r w:rsidR="00752249">
        <w:t xml:space="preserve"> (See ‘Inventory’ graph)</w:t>
      </w:r>
      <w:r w:rsidRPr="0031621B">
        <w:t>.</w:t>
      </w:r>
    </w:p>
    <w:p w14:paraId="302A61EA" w14:textId="6AB08EBF" w:rsidR="0080655E" w:rsidRPr="0031621B" w:rsidRDefault="0080655E" w:rsidP="0080655E">
      <w:pPr>
        <w:spacing w:before="120" w:after="120"/>
        <w:ind w:left="-360" w:right="-360"/>
        <w:contextualSpacing/>
      </w:pPr>
    </w:p>
    <w:p w14:paraId="613CA5FB" w14:textId="1C8E057A" w:rsidR="0080655E" w:rsidRDefault="0080655E" w:rsidP="0080655E">
      <w:pPr>
        <w:spacing w:before="120" w:after="120"/>
        <w:ind w:left="-360" w:right="-360"/>
        <w:contextualSpacing/>
      </w:pPr>
      <w:r w:rsidRPr="0031621B">
        <w:t>Subtract</w:t>
      </w:r>
      <w:r w:rsidR="00435320">
        <w:t>ing</w:t>
      </w:r>
      <w:r w:rsidRPr="0031621B">
        <w:t xml:space="preserve"> </w:t>
      </w:r>
      <w:r w:rsidR="00435320">
        <w:t xml:space="preserve">listings with an active offer from residential listings, yields </w:t>
      </w:r>
      <w:r w:rsidR="00435320" w:rsidRPr="00435320">
        <w:rPr>
          <w:b/>
          <w:bCs/>
        </w:rPr>
        <w:t xml:space="preserve">a remarkably low level of 2,162 </w:t>
      </w:r>
      <w:r w:rsidRPr="00435320">
        <w:rPr>
          <w:b/>
          <w:bCs/>
        </w:rPr>
        <w:t>listings</w:t>
      </w:r>
      <w:r w:rsidR="00435320" w:rsidRPr="00435320">
        <w:rPr>
          <w:b/>
          <w:bCs/>
        </w:rPr>
        <w:t>, which equals 0.8 months of inventory – a level never seen before</w:t>
      </w:r>
      <w:r>
        <w:t>.</w:t>
      </w:r>
    </w:p>
    <w:p w14:paraId="7ECBBE59" w14:textId="2AEADDB4" w:rsidR="00F67F9D" w:rsidRDefault="00F67F9D" w:rsidP="0080655E">
      <w:pPr>
        <w:spacing w:before="120" w:after="120"/>
        <w:ind w:left="-360" w:right="-360"/>
        <w:contextualSpacing/>
      </w:pPr>
    </w:p>
    <w:p w14:paraId="496AF8E2" w14:textId="0F74D664" w:rsidR="0080655E" w:rsidRDefault="0080655E" w:rsidP="0080655E">
      <w:pPr>
        <w:spacing w:before="120" w:after="120"/>
        <w:ind w:left="-360" w:right="-360"/>
        <w:contextualSpacing/>
      </w:pPr>
      <w:r>
        <w:t xml:space="preserve">These are </w:t>
      </w:r>
      <w:r w:rsidRPr="00270753">
        <w:t>dangerously low numbers</w:t>
      </w:r>
      <w:r>
        <w:t xml:space="preserve"> and have been lackluster for a few years. If the region does not create </w:t>
      </w:r>
      <w:r w:rsidR="00270753">
        <w:t>additional</w:t>
      </w:r>
      <w:r>
        <w:t xml:space="preserve"> supply in the form of more single-family and condo units, thousands of would-be homeowners will be forced </w:t>
      </w:r>
      <w:r w:rsidR="00F67F9D">
        <w:t xml:space="preserve">into rental units, foregoing the opportunity to build wealth through a home’s equity and all of the other benefits of homeownership. </w:t>
      </w:r>
    </w:p>
    <w:p w14:paraId="10516F3B" w14:textId="77777777" w:rsidR="00435320" w:rsidRDefault="00435320" w:rsidP="0080655E">
      <w:pPr>
        <w:spacing w:before="120" w:after="120"/>
        <w:ind w:left="-360" w:right="-360"/>
        <w:contextualSpacing/>
      </w:pPr>
    </w:p>
    <w:p w14:paraId="36E4E76B" w14:textId="29F31CC5" w:rsidR="00F67F9D" w:rsidRDefault="00C0002D" w:rsidP="00435320">
      <w:pPr>
        <w:spacing w:before="120" w:after="120"/>
        <w:ind w:left="-360" w:right="-360"/>
        <w:contextualSpacing/>
        <w:jc w:val="center"/>
      </w:pPr>
      <w:r>
        <w:rPr>
          <w:noProof/>
        </w:rPr>
        <w:drawing>
          <wp:inline distT="0" distB="0" distL="0" distR="0" wp14:anchorId="6EA37C44" wp14:editId="1EE22363">
            <wp:extent cx="5486400" cy="2743200"/>
            <wp:effectExtent l="0" t="0" r="0" b="0"/>
            <wp:docPr id="23" name="Chart 23">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E770CA" w14:textId="50D2B35B" w:rsidR="00F67F9D" w:rsidRDefault="00F67F9D" w:rsidP="0080655E">
      <w:pPr>
        <w:spacing w:before="120" w:after="120"/>
        <w:ind w:left="-360" w:right="-360"/>
        <w:contextualSpacing/>
      </w:pPr>
      <w:r w:rsidRPr="0031621B">
        <w:t>Generally, six months of inventory is considered a “balanced” market. If inventory falls below six months, the market favors sellers</w:t>
      </w:r>
      <w:r>
        <w:t>,</w:t>
      </w:r>
      <w:r w:rsidRPr="0031621B">
        <w:t xml:space="preserve"> and when inventory exceeds six months, it is a buyer’s market</w:t>
      </w:r>
      <w:r w:rsidR="00EC22D0">
        <w:t>.</w:t>
      </w:r>
    </w:p>
    <w:p w14:paraId="3621E155" w14:textId="155EA338" w:rsidR="0080655E" w:rsidRDefault="0080655E" w:rsidP="0080655E">
      <w:pPr>
        <w:spacing w:before="120" w:after="120"/>
        <w:ind w:left="-360" w:right="-360"/>
        <w:contextualSpacing/>
      </w:pPr>
    </w:p>
    <w:p w14:paraId="205DA350" w14:textId="51F8E9B7" w:rsidR="00AB0545" w:rsidRDefault="00EC22D0" w:rsidP="0080655E">
      <w:pPr>
        <w:spacing w:before="120" w:after="120"/>
        <w:ind w:left="-360" w:right="-360"/>
        <w:contextualSpacing/>
      </w:pPr>
      <w:r>
        <w:t xml:space="preserve">With </w:t>
      </w:r>
      <w:r w:rsidR="00435320">
        <w:t>3</w:t>
      </w:r>
      <w:r>
        <w:t>,6</w:t>
      </w:r>
      <w:r w:rsidR="00435320">
        <w:t>30</w:t>
      </w:r>
      <w:r>
        <w:t xml:space="preserve"> current listings providing </w:t>
      </w:r>
      <w:r w:rsidR="00435320">
        <w:t>2</w:t>
      </w:r>
      <w:r>
        <w:t>.</w:t>
      </w:r>
      <w:r w:rsidR="00435320">
        <w:t>0</w:t>
      </w:r>
      <w:r>
        <w:t xml:space="preserve"> months of inventory, the market would need an additional </w:t>
      </w:r>
      <w:r w:rsidR="00AB0545">
        <w:t>7</w:t>
      </w:r>
      <w:r>
        <w:t>,</w:t>
      </w:r>
      <w:r w:rsidR="00AB0545">
        <w:t>150</w:t>
      </w:r>
      <w:r>
        <w:t xml:space="preserve"> units</w:t>
      </w:r>
      <w:r w:rsidR="00AB0545">
        <w:t xml:space="preserve"> </w:t>
      </w:r>
      <w:r>
        <w:t>to push inventory to 6 months.</w:t>
      </w:r>
      <w:r w:rsidR="00AB0545">
        <w:t xml:space="preserve"> </w:t>
      </w:r>
    </w:p>
    <w:p w14:paraId="552AE2ED" w14:textId="77777777" w:rsidR="00AB0545" w:rsidRDefault="00AB0545">
      <w:pPr>
        <w:spacing w:after="160" w:line="259" w:lineRule="auto"/>
      </w:pPr>
      <w:r>
        <w:br w:type="page"/>
      </w:r>
    </w:p>
    <w:p w14:paraId="0ECFEFA5" w14:textId="77777777" w:rsidR="0060287B" w:rsidRDefault="0060287B" w:rsidP="007B6D3B">
      <w:pPr>
        <w:spacing w:before="120" w:after="120"/>
        <w:ind w:left="-360" w:right="-360"/>
        <w:contextualSpacing/>
        <w:rPr>
          <w:b/>
        </w:rPr>
      </w:pPr>
    </w:p>
    <w:tbl>
      <w:tblPr>
        <w:tblpPr w:leftFromText="180" w:rightFromText="180" w:bottomFromText="115" w:vertAnchor="text" w:horzAnchor="page" w:tblpX="1069" w:tblpY="-94"/>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929"/>
        <w:gridCol w:w="929"/>
        <w:gridCol w:w="1064"/>
      </w:tblGrid>
      <w:tr w:rsidR="00BF7895" w:rsidRPr="00DC55EC" w14:paraId="426B6F6D" w14:textId="77777777" w:rsidTr="00DC55E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017A0DAE" w14:textId="49F5065F" w:rsidR="00BF7895" w:rsidRPr="00270753" w:rsidRDefault="00E5715D" w:rsidP="001A5F8A">
            <w:pPr>
              <w:spacing w:line="252" w:lineRule="auto"/>
              <w:ind w:left="-108" w:right="85"/>
              <w:rPr>
                <w:rFonts w:cstheme="minorHAnsi"/>
                <w:b/>
              </w:rPr>
            </w:pPr>
            <w:r>
              <w:rPr>
                <w:rFonts w:cstheme="minorHAnsi"/>
                <w:b/>
              </w:rPr>
              <w:t>December</w:t>
            </w:r>
            <w:r w:rsidR="00BF7895" w:rsidRPr="00270753">
              <w:rPr>
                <w:rFonts w:cstheme="minorHAnsi"/>
                <w:b/>
              </w:rPr>
              <w:t xml:space="preserve"> Listings</w:t>
            </w:r>
          </w:p>
        </w:tc>
      </w:tr>
      <w:tr w:rsidR="00BF7895" w:rsidRPr="00DC55EC" w14:paraId="6033A344" w14:textId="77777777" w:rsidTr="00DC55EC">
        <w:trPr>
          <w:trHeight w:val="288"/>
        </w:trPr>
        <w:tc>
          <w:tcPr>
            <w:tcW w:w="1668"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2E9E90AD" w14:textId="77777777" w:rsidR="00BF7895" w:rsidRPr="00DC55EC" w:rsidRDefault="00BF7895" w:rsidP="001A5F8A">
            <w:pPr>
              <w:ind w:left="175" w:right="100"/>
              <w:rPr>
                <w:rFonts w:cstheme="minorHAnsi"/>
                <w:b/>
                <w:color w:val="FFFFFF" w:themeColor="background1"/>
              </w:rPr>
            </w:pPr>
            <w:r w:rsidRPr="00DC55EC">
              <w:rPr>
                <w:rFonts w:cstheme="minorHAnsi"/>
                <w:b/>
                <w:color w:val="FFFFFF" w:themeColor="background1"/>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14210741" w14:textId="63728ED7" w:rsidR="00BF7895" w:rsidRPr="00DC55EC" w:rsidRDefault="00BF7895" w:rsidP="001A5F8A">
            <w:pPr>
              <w:spacing w:line="207" w:lineRule="atLeast"/>
              <w:ind w:left="44" w:right="100"/>
              <w:rPr>
                <w:rFonts w:cstheme="minorHAnsi"/>
                <w:color w:val="FFFFFF" w:themeColor="background1"/>
              </w:rPr>
            </w:pPr>
            <w:r w:rsidRPr="00DC55EC">
              <w:rPr>
                <w:rFonts w:cstheme="minorHAnsi"/>
                <w:color w:val="FFFFFF" w:themeColor="background1"/>
              </w:rPr>
              <w:t>201</w:t>
            </w:r>
            <w:r w:rsidR="003C5FD7" w:rsidRPr="00DC55EC">
              <w:rPr>
                <w:rFonts w:cstheme="minorHAnsi"/>
                <w:color w:val="FFFFFF" w:themeColor="background1"/>
              </w:rPr>
              <w:t>9</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52200A40" w14:textId="5631C33C" w:rsidR="00BF7895" w:rsidRPr="00DC55EC" w:rsidRDefault="00BF7895" w:rsidP="001A5F8A">
            <w:pPr>
              <w:spacing w:line="207" w:lineRule="atLeast"/>
              <w:ind w:right="100"/>
              <w:rPr>
                <w:rFonts w:cstheme="minorHAnsi"/>
                <w:color w:val="FFFFFF" w:themeColor="background1"/>
              </w:rPr>
            </w:pPr>
            <w:r w:rsidRPr="00DC55EC">
              <w:rPr>
                <w:rFonts w:cstheme="minorHAnsi"/>
                <w:color w:val="FFFFFF" w:themeColor="background1"/>
              </w:rPr>
              <w:t>20</w:t>
            </w:r>
            <w:r w:rsidR="003C5FD7" w:rsidRPr="00DC55EC">
              <w:rPr>
                <w:rFonts w:cstheme="minorHAnsi"/>
                <w:color w:val="FFFFFF" w:themeColor="background1"/>
              </w:rPr>
              <w:t>20</w:t>
            </w:r>
          </w:p>
        </w:tc>
        <w:tc>
          <w:tcPr>
            <w:tcW w:w="1064" w:type="dxa"/>
            <w:tcBorders>
              <w:top w:val="single" w:sz="12" w:space="0" w:color="FFFFFF" w:themeColor="background1"/>
              <w:left w:val="single" w:sz="12" w:space="0" w:color="FFFFFF" w:themeColor="background1"/>
              <w:bottom w:val="nil"/>
            </w:tcBorders>
            <w:shd w:val="clear" w:color="auto" w:fill="1F4E79" w:themeFill="accent1" w:themeFillShade="80"/>
          </w:tcPr>
          <w:p w14:paraId="32361796" w14:textId="77777777" w:rsidR="00BF7895" w:rsidRPr="00DC55EC" w:rsidRDefault="00BF7895" w:rsidP="00DC55EC">
            <w:pPr>
              <w:ind w:left="89" w:right="46"/>
              <w:rPr>
                <w:rFonts w:cstheme="minorHAnsi"/>
                <w:color w:val="FFFFFF" w:themeColor="background1"/>
              </w:rPr>
            </w:pPr>
            <w:r w:rsidRPr="00DC55EC">
              <w:rPr>
                <w:rFonts w:cstheme="minorHAnsi"/>
                <w:color w:val="FFFFFF" w:themeColor="background1"/>
              </w:rPr>
              <w:t>% Change</w:t>
            </w:r>
          </w:p>
        </w:tc>
      </w:tr>
      <w:tr w:rsidR="00BF7895" w:rsidRPr="00DC55EC" w14:paraId="1A6D9EC3"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380B565F" w14:textId="77777777" w:rsidR="00BF7895" w:rsidRPr="00DC55EC" w:rsidRDefault="00BF7895" w:rsidP="001A5F8A">
            <w:pPr>
              <w:spacing w:line="252" w:lineRule="auto"/>
              <w:ind w:left="62" w:right="100"/>
              <w:rPr>
                <w:rFonts w:cstheme="minorHAnsi"/>
              </w:rPr>
            </w:pPr>
            <w:r w:rsidRPr="00DC55EC">
              <w:rPr>
                <w:rFonts w:cstheme="minorHAnsi"/>
              </w:rPr>
              <w:t>Milwaukee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25FD5F38" w14:textId="509B8427" w:rsidR="00BF7895" w:rsidRPr="00DC55EC" w:rsidRDefault="008B059D" w:rsidP="001A5F8A">
            <w:pPr>
              <w:ind w:right="100"/>
              <w:rPr>
                <w:rFonts w:cstheme="minorHAnsi"/>
              </w:rPr>
            </w:pPr>
            <w:r>
              <w:rPr>
                <w:rFonts w:cstheme="minorHAnsi"/>
              </w:rPr>
              <w:t>625</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043A9F9E" w14:textId="14200285" w:rsidR="00BF7895" w:rsidRPr="00DC55EC" w:rsidRDefault="008B059D" w:rsidP="001A5F8A">
            <w:pPr>
              <w:ind w:right="100"/>
              <w:rPr>
                <w:rFonts w:cstheme="minorHAnsi"/>
              </w:rPr>
            </w:pPr>
            <w:r>
              <w:rPr>
                <w:rFonts w:cstheme="minorHAnsi"/>
              </w:rPr>
              <w:t>692</w:t>
            </w:r>
          </w:p>
        </w:tc>
        <w:tc>
          <w:tcPr>
            <w:tcW w:w="1064" w:type="dxa"/>
            <w:tcBorders>
              <w:top w:val="nil"/>
              <w:left w:val="nil"/>
              <w:bottom w:val="nil"/>
              <w:right w:val="nil"/>
            </w:tcBorders>
            <w:shd w:val="clear" w:color="auto" w:fill="auto"/>
            <w:vAlign w:val="center"/>
          </w:tcPr>
          <w:p w14:paraId="580A33AF" w14:textId="3BA625D9" w:rsidR="00BF7895" w:rsidRPr="00DC55EC" w:rsidRDefault="008B059D" w:rsidP="00DC55EC">
            <w:pPr>
              <w:spacing w:line="252" w:lineRule="auto"/>
              <w:ind w:left="95" w:right="180"/>
              <w:jc w:val="right"/>
              <w:rPr>
                <w:rFonts w:cstheme="minorHAnsi"/>
              </w:rPr>
            </w:pPr>
            <w:r>
              <w:rPr>
                <w:rFonts w:cstheme="minorHAnsi"/>
              </w:rPr>
              <w:t>10.7%</w:t>
            </w:r>
          </w:p>
        </w:tc>
      </w:tr>
      <w:tr w:rsidR="00BF7895" w:rsidRPr="00DC55EC" w14:paraId="05B753C1" w14:textId="77777777" w:rsidTr="00DC55EC">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A705EAD" w14:textId="77777777" w:rsidR="00BF7895" w:rsidRPr="00DC55EC" w:rsidRDefault="00BF7895" w:rsidP="001A5F8A">
            <w:pPr>
              <w:spacing w:line="252" w:lineRule="auto"/>
              <w:ind w:left="62" w:right="100"/>
              <w:rPr>
                <w:rFonts w:cstheme="minorHAnsi"/>
              </w:rPr>
            </w:pPr>
            <w:r w:rsidRPr="00DC55EC">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43ED09C2" w14:textId="70F71251" w:rsidR="00BF7895" w:rsidRPr="00DC55EC" w:rsidRDefault="008B059D" w:rsidP="001A5F8A">
            <w:pPr>
              <w:ind w:right="100"/>
              <w:rPr>
                <w:rFonts w:cstheme="minorHAnsi"/>
              </w:rPr>
            </w:pPr>
            <w:r>
              <w:rPr>
                <w:rFonts w:cstheme="minorHAnsi"/>
              </w:rPr>
              <w:t>227</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779C3B81" w14:textId="619E5900" w:rsidR="00BF7895" w:rsidRPr="00DC55EC" w:rsidRDefault="008B059D" w:rsidP="001A5F8A">
            <w:pPr>
              <w:ind w:right="100"/>
              <w:rPr>
                <w:rFonts w:cstheme="minorHAnsi"/>
              </w:rPr>
            </w:pPr>
            <w:r>
              <w:rPr>
                <w:rFonts w:cstheme="minorHAnsi"/>
              </w:rPr>
              <w:t>234</w:t>
            </w:r>
          </w:p>
        </w:tc>
        <w:tc>
          <w:tcPr>
            <w:tcW w:w="1064" w:type="dxa"/>
            <w:tcBorders>
              <w:top w:val="nil"/>
              <w:left w:val="nil"/>
              <w:bottom w:val="nil"/>
              <w:right w:val="nil"/>
            </w:tcBorders>
            <w:shd w:val="clear" w:color="auto" w:fill="DEEAF6" w:themeFill="accent1" w:themeFillTint="33"/>
            <w:vAlign w:val="center"/>
          </w:tcPr>
          <w:p w14:paraId="3FA3B082" w14:textId="57F21599" w:rsidR="00BF7895" w:rsidRPr="00DC55EC" w:rsidRDefault="008B059D" w:rsidP="00DC55EC">
            <w:pPr>
              <w:spacing w:line="252" w:lineRule="auto"/>
              <w:ind w:left="95" w:right="180"/>
              <w:jc w:val="right"/>
              <w:rPr>
                <w:rFonts w:cstheme="minorHAnsi"/>
              </w:rPr>
            </w:pPr>
            <w:r>
              <w:rPr>
                <w:rFonts w:cstheme="minorHAnsi"/>
              </w:rPr>
              <w:t>3.1%</w:t>
            </w:r>
          </w:p>
        </w:tc>
      </w:tr>
      <w:tr w:rsidR="00BF7895" w:rsidRPr="00DC55EC" w14:paraId="6F989B67" w14:textId="77777777" w:rsidTr="00F41BD7">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6514D57F" w14:textId="77777777" w:rsidR="00BF7895" w:rsidRPr="00DC55EC" w:rsidRDefault="00BF7895" w:rsidP="001A5F8A">
            <w:pPr>
              <w:spacing w:line="252" w:lineRule="auto"/>
              <w:ind w:left="62" w:right="100"/>
              <w:rPr>
                <w:rFonts w:cstheme="minorHAnsi"/>
              </w:rPr>
            </w:pPr>
            <w:r w:rsidRPr="00DC55EC">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B4F66CA" w14:textId="39EBD561" w:rsidR="00BF7895" w:rsidRPr="00DC55EC" w:rsidRDefault="008B059D" w:rsidP="001A5F8A">
            <w:pPr>
              <w:spacing w:line="252" w:lineRule="auto"/>
              <w:ind w:right="100"/>
              <w:rPr>
                <w:rFonts w:cstheme="minorHAnsi"/>
              </w:rPr>
            </w:pPr>
            <w:r>
              <w:rPr>
                <w:rFonts w:cstheme="minorHAnsi"/>
              </w:rPr>
              <w:t>94</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02744AC" w14:textId="40F5757B" w:rsidR="00BF7895" w:rsidRPr="00DC55EC" w:rsidRDefault="008B059D" w:rsidP="001A5F8A">
            <w:pPr>
              <w:spacing w:line="252" w:lineRule="auto"/>
              <w:ind w:right="100"/>
              <w:rPr>
                <w:rFonts w:cstheme="minorHAnsi"/>
              </w:rPr>
            </w:pPr>
            <w:r>
              <w:rPr>
                <w:rFonts w:cstheme="minorHAnsi"/>
              </w:rPr>
              <w:t>111</w:t>
            </w:r>
          </w:p>
        </w:tc>
        <w:tc>
          <w:tcPr>
            <w:tcW w:w="1064" w:type="dxa"/>
            <w:tcBorders>
              <w:top w:val="nil"/>
              <w:left w:val="nil"/>
              <w:bottom w:val="nil"/>
              <w:right w:val="nil"/>
            </w:tcBorders>
            <w:shd w:val="clear" w:color="auto" w:fill="auto"/>
            <w:vAlign w:val="center"/>
          </w:tcPr>
          <w:p w14:paraId="5D826CE6" w14:textId="46E6DBF9" w:rsidR="00BF7895" w:rsidRPr="00DC55EC" w:rsidRDefault="008B059D" w:rsidP="00DC55EC">
            <w:pPr>
              <w:spacing w:line="252" w:lineRule="auto"/>
              <w:ind w:left="95" w:right="180"/>
              <w:jc w:val="right"/>
              <w:rPr>
                <w:rFonts w:cstheme="minorHAnsi"/>
              </w:rPr>
            </w:pPr>
            <w:r>
              <w:rPr>
                <w:rFonts w:cstheme="minorHAnsi"/>
              </w:rPr>
              <w:t>18.1%</w:t>
            </w:r>
          </w:p>
        </w:tc>
      </w:tr>
      <w:tr w:rsidR="00BF7895" w:rsidRPr="00DC55EC" w14:paraId="5B123737" w14:textId="77777777" w:rsidTr="00F41BD7">
        <w:trPr>
          <w:trHeight w:val="288"/>
        </w:trPr>
        <w:tc>
          <w:tcPr>
            <w:tcW w:w="1668"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C8EB52E" w14:textId="77777777" w:rsidR="00BF7895" w:rsidRPr="00DC55EC" w:rsidRDefault="00BF7895" w:rsidP="001A5F8A">
            <w:pPr>
              <w:spacing w:line="252" w:lineRule="auto"/>
              <w:ind w:left="62" w:right="100"/>
              <w:rPr>
                <w:rFonts w:cstheme="minorHAnsi"/>
              </w:rPr>
            </w:pPr>
            <w:r w:rsidRPr="00DC55EC">
              <w:rPr>
                <w:rFonts w:cstheme="minorHAnsi"/>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9C97BCE" w14:textId="223F85DD" w:rsidR="00BF7895" w:rsidRPr="00DC55EC" w:rsidRDefault="008B059D" w:rsidP="001A5F8A">
            <w:pPr>
              <w:spacing w:line="252" w:lineRule="auto"/>
              <w:ind w:right="100"/>
              <w:rPr>
                <w:rFonts w:cstheme="minorHAnsi"/>
              </w:rPr>
            </w:pPr>
            <w:r>
              <w:rPr>
                <w:rFonts w:cstheme="minorHAnsi"/>
              </w:rPr>
              <w:t>73</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19F5C5C" w14:textId="4C3BA0A2" w:rsidR="00BF7895" w:rsidRPr="00DC55EC" w:rsidRDefault="008B059D" w:rsidP="001A5F8A">
            <w:pPr>
              <w:spacing w:line="252" w:lineRule="auto"/>
              <w:ind w:right="100"/>
              <w:rPr>
                <w:rFonts w:cstheme="minorHAnsi"/>
              </w:rPr>
            </w:pPr>
            <w:r>
              <w:rPr>
                <w:rFonts w:cstheme="minorHAnsi"/>
              </w:rPr>
              <w:t>63</w:t>
            </w:r>
          </w:p>
        </w:tc>
        <w:tc>
          <w:tcPr>
            <w:tcW w:w="1064" w:type="dxa"/>
            <w:tcBorders>
              <w:top w:val="nil"/>
              <w:left w:val="nil"/>
              <w:bottom w:val="nil"/>
              <w:right w:val="nil"/>
            </w:tcBorders>
            <w:shd w:val="clear" w:color="auto" w:fill="DEEAF6" w:themeFill="accent1" w:themeFillTint="33"/>
            <w:vAlign w:val="center"/>
          </w:tcPr>
          <w:p w14:paraId="39A71D0C" w14:textId="41B961EC" w:rsidR="00BF7895" w:rsidRPr="00DC55EC" w:rsidRDefault="008B059D" w:rsidP="00DC55EC">
            <w:pPr>
              <w:spacing w:line="252" w:lineRule="auto"/>
              <w:ind w:left="95" w:right="180"/>
              <w:jc w:val="right"/>
              <w:rPr>
                <w:rFonts w:cstheme="minorHAnsi"/>
              </w:rPr>
            </w:pPr>
            <w:r>
              <w:rPr>
                <w:rFonts w:cstheme="minorHAnsi"/>
              </w:rPr>
              <w:t>-13.7%</w:t>
            </w:r>
          </w:p>
        </w:tc>
      </w:tr>
      <w:tr w:rsidR="00BF7895" w:rsidRPr="00DC55EC" w14:paraId="5243125C" w14:textId="77777777" w:rsidTr="00F41BD7">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64DD1B5C" w14:textId="33739D5E" w:rsidR="00BF7895" w:rsidRPr="00DC55EC" w:rsidRDefault="0043444E" w:rsidP="001A5F8A">
            <w:pPr>
              <w:spacing w:line="252" w:lineRule="auto"/>
              <w:ind w:left="62" w:right="100"/>
              <w:rPr>
                <w:rFonts w:cstheme="minorHAnsi"/>
              </w:rPr>
            </w:pPr>
            <w:r w:rsidRPr="00DC55EC">
              <w:rPr>
                <w:rFonts w:cstheme="minorHAnsi"/>
              </w:rPr>
              <w:t>Metro</w:t>
            </w:r>
            <w:r w:rsidR="00BF7895" w:rsidRPr="00DC55EC">
              <w:rPr>
                <w:rFonts w:cstheme="minorHAnsi"/>
              </w:rPr>
              <w:t xml:space="preserve">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16F8539" w14:textId="199D41FF" w:rsidR="00BF7895" w:rsidRPr="00DC55EC" w:rsidRDefault="008B059D" w:rsidP="001A5F8A">
            <w:pPr>
              <w:spacing w:line="252" w:lineRule="auto"/>
              <w:ind w:right="100"/>
              <w:rPr>
                <w:rFonts w:cstheme="minorHAnsi"/>
              </w:rPr>
            </w:pPr>
            <w:r>
              <w:rPr>
                <w:rFonts w:cstheme="minorHAnsi"/>
              </w:rPr>
              <w:t>1,019</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7E56854A" w14:textId="40F99A5F" w:rsidR="00BF7895" w:rsidRPr="00DC55EC" w:rsidRDefault="008B059D" w:rsidP="001A5F8A">
            <w:pPr>
              <w:spacing w:line="252" w:lineRule="auto"/>
              <w:ind w:right="100"/>
              <w:rPr>
                <w:rFonts w:cstheme="minorHAnsi"/>
              </w:rPr>
            </w:pPr>
            <w:r>
              <w:rPr>
                <w:rFonts w:cstheme="minorHAnsi"/>
              </w:rPr>
              <w:t>1,100</w:t>
            </w:r>
          </w:p>
        </w:tc>
        <w:tc>
          <w:tcPr>
            <w:tcW w:w="1064" w:type="dxa"/>
            <w:tcBorders>
              <w:top w:val="nil"/>
              <w:left w:val="nil"/>
              <w:bottom w:val="nil"/>
              <w:right w:val="nil"/>
            </w:tcBorders>
            <w:shd w:val="clear" w:color="auto" w:fill="auto"/>
            <w:vAlign w:val="center"/>
          </w:tcPr>
          <w:p w14:paraId="584460D1" w14:textId="0B4F4E4C" w:rsidR="00BF7895" w:rsidRPr="00DC55EC" w:rsidRDefault="008B059D" w:rsidP="00DC55EC">
            <w:pPr>
              <w:spacing w:line="252" w:lineRule="auto"/>
              <w:ind w:left="95" w:right="180"/>
              <w:jc w:val="right"/>
              <w:rPr>
                <w:rFonts w:cstheme="minorHAnsi"/>
              </w:rPr>
            </w:pPr>
            <w:r>
              <w:rPr>
                <w:rFonts w:cstheme="minorHAnsi"/>
              </w:rPr>
              <w:t>7.9%</w:t>
            </w:r>
          </w:p>
        </w:tc>
      </w:tr>
      <w:tr w:rsidR="001A5F8A" w:rsidRPr="00DC55EC" w14:paraId="56BA12FC" w14:textId="77777777" w:rsidTr="00DC55EC">
        <w:trPr>
          <w:trHeight w:val="144"/>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499AE21" w14:textId="77777777" w:rsidR="001A5F8A" w:rsidRPr="00DC55EC" w:rsidRDefault="001A5F8A" w:rsidP="00DC55EC">
            <w:pPr>
              <w:spacing w:line="252" w:lineRule="auto"/>
              <w:ind w:left="95" w:right="180"/>
              <w:jc w:val="right"/>
              <w:rPr>
                <w:rFonts w:cstheme="minorHAnsi"/>
                <w:sz w:val="10"/>
                <w:szCs w:val="10"/>
              </w:rPr>
            </w:pPr>
          </w:p>
        </w:tc>
      </w:tr>
      <w:tr w:rsidR="00BF7895" w:rsidRPr="00DC55EC" w14:paraId="16792FD9"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3B773613" w14:textId="77777777" w:rsidR="00BF7895" w:rsidRPr="00DC55EC" w:rsidRDefault="00BF7895" w:rsidP="001A5F8A">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7623949" w14:textId="52517705" w:rsidR="00BF7895" w:rsidRPr="00DC55EC" w:rsidRDefault="008B059D" w:rsidP="001A5F8A">
            <w:pPr>
              <w:spacing w:line="252" w:lineRule="auto"/>
              <w:ind w:right="100"/>
              <w:rPr>
                <w:rFonts w:cstheme="minorHAnsi"/>
              </w:rPr>
            </w:pPr>
            <w:r>
              <w:rPr>
                <w:rFonts w:cstheme="minorHAnsi"/>
              </w:rPr>
              <w:t>132</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3E3CA32D" w14:textId="33F2048F" w:rsidR="00BF7895" w:rsidRPr="00DC55EC" w:rsidRDefault="008B059D" w:rsidP="001A5F8A">
            <w:pPr>
              <w:spacing w:line="252" w:lineRule="auto"/>
              <w:ind w:right="100"/>
              <w:rPr>
                <w:rFonts w:cstheme="minorHAnsi"/>
              </w:rPr>
            </w:pPr>
            <w:r>
              <w:rPr>
                <w:rFonts w:cstheme="minorHAnsi"/>
              </w:rPr>
              <w:t>183</w:t>
            </w:r>
          </w:p>
        </w:tc>
        <w:tc>
          <w:tcPr>
            <w:tcW w:w="1064" w:type="dxa"/>
            <w:tcBorders>
              <w:top w:val="nil"/>
              <w:left w:val="nil"/>
              <w:bottom w:val="nil"/>
              <w:right w:val="nil"/>
            </w:tcBorders>
            <w:shd w:val="clear" w:color="auto" w:fill="auto"/>
            <w:vAlign w:val="center"/>
          </w:tcPr>
          <w:p w14:paraId="374CC047" w14:textId="720E3D12" w:rsidR="00BF7895" w:rsidRPr="00DC55EC" w:rsidRDefault="008B059D" w:rsidP="00DC55EC">
            <w:pPr>
              <w:spacing w:line="252" w:lineRule="auto"/>
              <w:ind w:left="95" w:right="180"/>
              <w:jc w:val="right"/>
              <w:rPr>
                <w:rFonts w:cstheme="minorHAnsi"/>
              </w:rPr>
            </w:pPr>
            <w:r>
              <w:rPr>
                <w:rFonts w:cstheme="minorHAnsi"/>
              </w:rPr>
              <w:t>38.6%</w:t>
            </w:r>
          </w:p>
        </w:tc>
      </w:tr>
      <w:tr w:rsidR="00BF7895" w:rsidRPr="00DC55EC" w14:paraId="3178E533" w14:textId="77777777" w:rsidTr="00F41BD7">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22D5952" w14:textId="77777777" w:rsidR="00BF7895" w:rsidRPr="00DC55EC" w:rsidRDefault="00BF7895" w:rsidP="001A5F8A">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C86F2F" w14:textId="51A3FB74" w:rsidR="00BF7895" w:rsidRPr="00DC55EC" w:rsidRDefault="008B059D" w:rsidP="001A5F8A">
            <w:pPr>
              <w:spacing w:line="252" w:lineRule="auto"/>
              <w:ind w:right="100"/>
              <w:rPr>
                <w:rFonts w:cstheme="minorHAnsi"/>
              </w:rPr>
            </w:pPr>
            <w:r>
              <w:rPr>
                <w:rFonts w:cstheme="minorHAnsi"/>
              </w:rPr>
              <w:t>105</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45E5A76" w14:textId="79E0C14C" w:rsidR="00BF7895" w:rsidRPr="00DC55EC" w:rsidRDefault="008B059D" w:rsidP="001A5F8A">
            <w:pPr>
              <w:spacing w:line="252" w:lineRule="auto"/>
              <w:ind w:right="100"/>
              <w:rPr>
                <w:rFonts w:cstheme="minorHAnsi"/>
              </w:rPr>
            </w:pPr>
            <w:r>
              <w:rPr>
                <w:rFonts w:cstheme="minorHAnsi"/>
              </w:rPr>
              <w:t>122</w:t>
            </w:r>
          </w:p>
        </w:tc>
        <w:tc>
          <w:tcPr>
            <w:tcW w:w="1064" w:type="dxa"/>
            <w:tcBorders>
              <w:top w:val="nil"/>
              <w:left w:val="nil"/>
              <w:bottom w:val="nil"/>
              <w:right w:val="nil"/>
            </w:tcBorders>
            <w:shd w:val="clear" w:color="auto" w:fill="DEEAF6" w:themeFill="accent1" w:themeFillTint="33"/>
            <w:vAlign w:val="center"/>
          </w:tcPr>
          <w:p w14:paraId="32C10210" w14:textId="6B6BDD1E" w:rsidR="00BF7895" w:rsidRPr="00DC55EC" w:rsidRDefault="008B059D" w:rsidP="00DC55EC">
            <w:pPr>
              <w:spacing w:line="252" w:lineRule="auto"/>
              <w:ind w:left="95" w:right="180"/>
              <w:jc w:val="right"/>
              <w:rPr>
                <w:rFonts w:cstheme="minorHAnsi"/>
              </w:rPr>
            </w:pPr>
            <w:r>
              <w:rPr>
                <w:rFonts w:cstheme="minorHAnsi"/>
              </w:rPr>
              <w:t>16.2%</w:t>
            </w:r>
          </w:p>
        </w:tc>
      </w:tr>
      <w:tr w:rsidR="00BF7895" w:rsidRPr="00DC55EC" w14:paraId="63293F05" w14:textId="77777777" w:rsidTr="00F41BD7">
        <w:trPr>
          <w:trHeight w:val="288"/>
        </w:trPr>
        <w:tc>
          <w:tcPr>
            <w:tcW w:w="1668"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05FD90A6" w14:textId="77777777" w:rsidR="00BF7895" w:rsidRPr="00DC55EC" w:rsidRDefault="00BF7895" w:rsidP="001A5F8A">
            <w:pPr>
              <w:spacing w:line="252" w:lineRule="auto"/>
              <w:ind w:left="62" w:right="100"/>
              <w:rPr>
                <w:rFonts w:cstheme="minorHAnsi"/>
              </w:rPr>
            </w:pPr>
            <w:r w:rsidRPr="00DC55EC">
              <w:rPr>
                <w:rFonts w:cstheme="minorHAnsi"/>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A2EFD7" w14:textId="3F85C450" w:rsidR="00BF7895" w:rsidRPr="00DC55EC" w:rsidRDefault="008B059D" w:rsidP="001A5F8A">
            <w:pPr>
              <w:spacing w:line="252" w:lineRule="auto"/>
              <w:ind w:right="100"/>
              <w:rPr>
                <w:rFonts w:cstheme="minorHAnsi"/>
              </w:rPr>
            </w:pPr>
            <w:r>
              <w:rPr>
                <w:rFonts w:cstheme="minorHAnsi"/>
              </w:rPr>
              <w:t>70</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4D80C81" w14:textId="7E108FFA" w:rsidR="00BF7895" w:rsidRPr="00DC55EC" w:rsidRDefault="008B059D" w:rsidP="001A5F8A">
            <w:pPr>
              <w:spacing w:line="252" w:lineRule="auto"/>
              <w:ind w:right="100"/>
              <w:rPr>
                <w:rFonts w:cstheme="minorHAnsi"/>
              </w:rPr>
            </w:pPr>
            <w:r>
              <w:rPr>
                <w:rFonts w:cstheme="minorHAnsi"/>
              </w:rPr>
              <w:t>90</w:t>
            </w:r>
          </w:p>
        </w:tc>
        <w:tc>
          <w:tcPr>
            <w:tcW w:w="1064" w:type="dxa"/>
            <w:tcBorders>
              <w:top w:val="nil"/>
              <w:left w:val="nil"/>
              <w:bottom w:val="nil"/>
              <w:right w:val="nil"/>
            </w:tcBorders>
            <w:shd w:val="clear" w:color="auto" w:fill="auto"/>
            <w:vAlign w:val="center"/>
          </w:tcPr>
          <w:p w14:paraId="4F64A560" w14:textId="072C19A2" w:rsidR="00BF7895" w:rsidRPr="00DC55EC" w:rsidRDefault="008B059D" w:rsidP="00DC55EC">
            <w:pPr>
              <w:spacing w:line="252" w:lineRule="auto"/>
              <w:ind w:left="95" w:right="180"/>
              <w:jc w:val="right"/>
              <w:rPr>
                <w:rFonts w:cstheme="minorHAnsi"/>
              </w:rPr>
            </w:pPr>
            <w:r>
              <w:rPr>
                <w:rFonts w:cstheme="minorHAnsi"/>
              </w:rPr>
              <w:t>28.6%</w:t>
            </w:r>
          </w:p>
        </w:tc>
      </w:tr>
      <w:tr w:rsidR="00BF7895" w:rsidRPr="00DC55EC" w14:paraId="45B60ACF" w14:textId="77777777" w:rsidTr="00F41BD7">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0639947" w14:textId="3580130C" w:rsidR="00BF7895" w:rsidRPr="00DC55EC" w:rsidRDefault="0043444E" w:rsidP="001A5F8A">
            <w:pPr>
              <w:spacing w:line="252" w:lineRule="auto"/>
              <w:ind w:left="62" w:right="100"/>
              <w:rPr>
                <w:rFonts w:cstheme="minorHAnsi"/>
              </w:rPr>
            </w:pPr>
            <w:r w:rsidRPr="00DC55EC">
              <w:rPr>
                <w:rFonts w:cstheme="minorHAnsi"/>
              </w:rPr>
              <w:t xml:space="preserve">SE WI </w:t>
            </w:r>
            <w:r w:rsidR="00BF7895" w:rsidRPr="00DC55EC">
              <w:rPr>
                <w:rFonts w:cstheme="minorHAnsi"/>
              </w:rPr>
              <w:t>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7FC194D" w14:textId="6BCC4358" w:rsidR="00BF7895" w:rsidRPr="00DC55EC" w:rsidRDefault="008922D3" w:rsidP="001A5F8A">
            <w:pPr>
              <w:spacing w:line="252" w:lineRule="auto"/>
              <w:ind w:right="100"/>
              <w:rPr>
                <w:rFonts w:cstheme="minorHAnsi"/>
              </w:rPr>
            </w:pPr>
            <w:r>
              <w:rPr>
                <w:rFonts w:cstheme="minorHAnsi"/>
              </w:rPr>
              <w:t>1326</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D637704" w14:textId="36AA379C" w:rsidR="00BF7895" w:rsidRPr="00DC55EC" w:rsidRDefault="008922D3" w:rsidP="001A5F8A">
            <w:pPr>
              <w:spacing w:line="252" w:lineRule="auto"/>
              <w:ind w:right="100"/>
              <w:rPr>
                <w:rFonts w:cstheme="minorHAnsi"/>
              </w:rPr>
            </w:pPr>
            <w:r>
              <w:rPr>
                <w:rFonts w:cstheme="minorHAnsi"/>
              </w:rPr>
              <w:t>1495</w:t>
            </w:r>
          </w:p>
        </w:tc>
        <w:tc>
          <w:tcPr>
            <w:tcW w:w="1064" w:type="dxa"/>
            <w:tcBorders>
              <w:top w:val="nil"/>
              <w:left w:val="nil"/>
              <w:bottom w:val="nil"/>
              <w:right w:val="nil"/>
            </w:tcBorders>
            <w:shd w:val="clear" w:color="auto" w:fill="DEEAF6" w:themeFill="accent1" w:themeFillTint="33"/>
            <w:vAlign w:val="center"/>
          </w:tcPr>
          <w:p w14:paraId="5BD99856" w14:textId="5490B449" w:rsidR="00BF7895" w:rsidRPr="00DC55EC" w:rsidRDefault="008922D3" w:rsidP="00DC55EC">
            <w:pPr>
              <w:spacing w:line="252" w:lineRule="auto"/>
              <w:ind w:left="95" w:right="180"/>
              <w:jc w:val="right"/>
              <w:rPr>
                <w:rFonts w:cstheme="minorHAnsi"/>
              </w:rPr>
            </w:pPr>
            <w:r>
              <w:rPr>
                <w:rFonts w:cstheme="minorHAnsi"/>
              </w:rPr>
              <w:t>12.7</w:t>
            </w:r>
            <w:r w:rsidR="008B059D">
              <w:rPr>
                <w:rFonts w:cstheme="minorHAnsi"/>
              </w:rPr>
              <w:t>%</w:t>
            </w:r>
          </w:p>
        </w:tc>
      </w:tr>
      <w:tr w:rsidR="001A5F8A" w:rsidRPr="00DC55EC" w14:paraId="5EED501A" w14:textId="77777777" w:rsidTr="00DC55EC">
        <w:trPr>
          <w:trHeight w:val="14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68820456" w14:textId="77777777" w:rsidR="001A5F8A" w:rsidRPr="00DC55EC" w:rsidRDefault="001A5F8A" w:rsidP="001A5F8A">
            <w:pPr>
              <w:spacing w:line="252" w:lineRule="auto"/>
              <w:ind w:left="95" w:right="100"/>
              <w:rPr>
                <w:rFonts w:cstheme="minorHAnsi"/>
                <w:sz w:val="20"/>
                <w:szCs w:val="20"/>
              </w:rPr>
            </w:pPr>
          </w:p>
        </w:tc>
      </w:tr>
      <w:tr w:rsidR="004616F1" w:rsidRPr="00DC55EC" w14:paraId="57949E39" w14:textId="77777777" w:rsidTr="00DC55EC">
        <w:trPr>
          <w:trHeight w:val="288"/>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4608B856" w14:textId="6B1EF48A" w:rsidR="004616F1" w:rsidRPr="00DC55EC" w:rsidRDefault="003F403D" w:rsidP="001A5F8A">
            <w:pPr>
              <w:spacing w:line="252" w:lineRule="auto"/>
              <w:ind w:left="-105" w:right="100"/>
              <w:rPr>
                <w:rFonts w:ascii="Arial Narrow" w:hAnsi="Arial Narrow" w:cstheme="minorHAnsi"/>
              </w:rPr>
            </w:pPr>
            <w:r>
              <w:rPr>
                <w:rFonts w:cstheme="minorHAnsi"/>
                <w:b/>
              </w:rPr>
              <w:t xml:space="preserve">2020 </w:t>
            </w:r>
            <w:r w:rsidR="0055631D" w:rsidRPr="006D6799">
              <w:rPr>
                <w:rFonts w:cstheme="minorHAnsi"/>
                <w:b/>
              </w:rPr>
              <w:t>Listings</w:t>
            </w:r>
            <w:r w:rsidR="0031482E" w:rsidRPr="0031482E">
              <w:rPr>
                <w:rFonts w:cstheme="minorHAnsi"/>
                <w:bCs/>
              </w:rPr>
              <w:t>*</w:t>
            </w:r>
            <w:r>
              <w:rPr>
                <w:rFonts w:cstheme="minorHAnsi"/>
                <w:b/>
              </w:rPr>
              <w:t xml:space="preserve"> </w:t>
            </w:r>
          </w:p>
        </w:tc>
      </w:tr>
      <w:tr w:rsidR="001A5F8A" w:rsidRPr="00DC55EC" w14:paraId="6C236639" w14:textId="77777777" w:rsidTr="00DC55EC">
        <w:trPr>
          <w:trHeight w:val="288"/>
        </w:trPr>
        <w:tc>
          <w:tcPr>
            <w:tcW w:w="1668" w:type="dxa"/>
            <w:tcBorders>
              <w:top w:val="nil"/>
              <w:left w:val="nil"/>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5423A247" w14:textId="25158A13" w:rsidR="004616F1" w:rsidRPr="00DC55EC" w:rsidRDefault="004616F1" w:rsidP="001A5F8A">
            <w:pPr>
              <w:spacing w:line="252" w:lineRule="auto"/>
              <w:ind w:left="62" w:right="100"/>
              <w:rPr>
                <w:rFonts w:cstheme="minorHAnsi"/>
                <w:b/>
              </w:rPr>
            </w:pPr>
            <w:r w:rsidRPr="00DC55EC">
              <w:rPr>
                <w:rFonts w:cstheme="minorHAnsi"/>
                <w:b/>
                <w:color w:val="FFFFFF" w:themeColor="background1"/>
              </w:rPr>
              <w:t>County</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76155947" w14:textId="465ECDFF" w:rsidR="004616F1" w:rsidRPr="00DC55EC" w:rsidRDefault="004616F1" w:rsidP="001A5F8A">
            <w:pPr>
              <w:spacing w:line="252" w:lineRule="auto"/>
              <w:ind w:right="100"/>
              <w:jc w:val="center"/>
              <w:rPr>
                <w:rFonts w:cstheme="minorHAnsi"/>
              </w:rPr>
            </w:pPr>
            <w:r w:rsidRPr="00DC55EC">
              <w:rPr>
                <w:rFonts w:cstheme="minorHAnsi"/>
                <w:color w:val="FFFFFF" w:themeColor="background1"/>
              </w:rPr>
              <w:t>2019</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2C0EF0AE" w14:textId="3E119A56" w:rsidR="004616F1" w:rsidRPr="00DC55EC" w:rsidRDefault="004616F1" w:rsidP="001A5F8A">
            <w:pPr>
              <w:spacing w:line="252" w:lineRule="auto"/>
              <w:ind w:right="100"/>
              <w:jc w:val="center"/>
              <w:rPr>
                <w:rFonts w:cstheme="minorHAnsi"/>
              </w:rPr>
            </w:pPr>
            <w:r w:rsidRPr="00DC55EC">
              <w:rPr>
                <w:rFonts w:cstheme="minorHAnsi"/>
                <w:color w:val="FFFFFF" w:themeColor="background1"/>
              </w:rPr>
              <w:t>2020</w:t>
            </w:r>
          </w:p>
        </w:tc>
        <w:tc>
          <w:tcPr>
            <w:tcW w:w="1064" w:type="dxa"/>
            <w:tcBorders>
              <w:top w:val="nil"/>
              <w:left w:val="single" w:sz="12" w:space="0" w:color="FFFFFF" w:themeColor="background1"/>
              <w:bottom w:val="single" w:sz="12" w:space="0" w:color="FFFFFF" w:themeColor="background1"/>
              <w:right w:val="nil"/>
            </w:tcBorders>
            <w:shd w:val="clear" w:color="auto" w:fill="1F4E79" w:themeFill="accent1" w:themeFillShade="80"/>
            <w:vAlign w:val="center"/>
          </w:tcPr>
          <w:p w14:paraId="54340EAA" w14:textId="7F02BA22" w:rsidR="004616F1" w:rsidRPr="00DC55EC" w:rsidRDefault="004616F1" w:rsidP="00DC55EC">
            <w:pPr>
              <w:spacing w:line="252" w:lineRule="auto"/>
              <w:ind w:left="95"/>
              <w:jc w:val="center"/>
              <w:rPr>
                <w:rFonts w:cstheme="minorHAnsi"/>
              </w:rPr>
            </w:pPr>
            <w:r w:rsidRPr="00DC55EC">
              <w:rPr>
                <w:rFonts w:cstheme="minorHAnsi"/>
                <w:color w:val="FFFFFF" w:themeColor="background1"/>
              </w:rPr>
              <w:t>% Change</w:t>
            </w:r>
          </w:p>
        </w:tc>
      </w:tr>
      <w:tr w:rsidR="00EB49AC" w:rsidRPr="00DC55EC" w14:paraId="41E4B642" w14:textId="77777777" w:rsidTr="00D34058">
        <w:trPr>
          <w:trHeight w:val="288"/>
        </w:trPr>
        <w:tc>
          <w:tcPr>
            <w:tcW w:w="1668"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4CDB77E9" w14:textId="7E30D85E" w:rsidR="00EB49AC" w:rsidRPr="008B059D" w:rsidRDefault="00EB49AC" w:rsidP="00EB49AC">
            <w:pPr>
              <w:spacing w:line="252" w:lineRule="auto"/>
              <w:ind w:left="62" w:right="100"/>
              <w:rPr>
                <w:rFonts w:cstheme="minorHAnsi"/>
                <w:b/>
              </w:rPr>
            </w:pPr>
            <w:r w:rsidRPr="008B059D">
              <w:rPr>
                <w:rFonts w:cstheme="minorHAnsi"/>
              </w:rPr>
              <w:t>Milwaukee</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bottom"/>
          </w:tcPr>
          <w:p w14:paraId="1A94161D" w14:textId="42A3F3F8" w:rsidR="00EB49AC" w:rsidRPr="008B059D" w:rsidRDefault="008B059D" w:rsidP="00EB49AC">
            <w:pPr>
              <w:spacing w:line="252" w:lineRule="auto"/>
              <w:ind w:right="100"/>
              <w:rPr>
                <w:rFonts w:cstheme="minorHAnsi"/>
              </w:rPr>
            </w:pPr>
            <w:r w:rsidRPr="008B059D">
              <w:rPr>
                <w:rFonts w:cstheme="minorHAnsi"/>
              </w:rPr>
              <w:t>14</w:t>
            </w:r>
            <w:r>
              <w:rPr>
                <w:rFonts w:cstheme="minorHAnsi"/>
              </w:rPr>
              <w:t>,</w:t>
            </w:r>
            <w:r w:rsidRPr="008B059D">
              <w:rPr>
                <w:rFonts w:cstheme="minorHAnsi"/>
              </w:rPr>
              <w:t>922</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bottom"/>
          </w:tcPr>
          <w:p w14:paraId="3E2122AA" w14:textId="26D3598C" w:rsidR="00EB49AC" w:rsidRPr="008B059D" w:rsidRDefault="008B059D" w:rsidP="00EB49AC">
            <w:pPr>
              <w:spacing w:line="252" w:lineRule="auto"/>
              <w:ind w:right="100"/>
              <w:rPr>
                <w:rFonts w:cstheme="minorHAnsi"/>
              </w:rPr>
            </w:pPr>
            <w:r w:rsidRPr="008B059D">
              <w:rPr>
                <w:rFonts w:cstheme="minorHAnsi"/>
              </w:rPr>
              <w:t>14</w:t>
            </w:r>
            <w:r>
              <w:rPr>
                <w:rFonts w:cstheme="minorHAnsi"/>
              </w:rPr>
              <w:t>,</w:t>
            </w:r>
            <w:r w:rsidRPr="008B059D">
              <w:rPr>
                <w:rFonts w:cstheme="minorHAnsi"/>
              </w:rPr>
              <w:t>805</w:t>
            </w:r>
          </w:p>
        </w:tc>
        <w:tc>
          <w:tcPr>
            <w:tcW w:w="1064" w:type="dxa"/>
            <w:tcBorders>
              <w:top w:val="single" w:sz="12" w:space="0" w:color="FFFFFF" w:themeColor="background1"/>
              <w:left w:val="nil"/>
              <w:bottom w:val="nil"/>
              <w:right w:val="nil"/>
            </w:tcBorders>
            <w:shd w:val="clear" w:color="auto" w:fill="auto"/>
            <w:vAlign w:val="center"/>
          </w:tcPr>
          <w:p w14:paraId="183B9C37" w14:textId="1D8C11D4" w:rsidR="00EB49AC" w:rsidRPr="008B059D" w:rsidRDefault="008B059D" w:rsidP="00EB49AC">
            <w:pPr>
              <w:spacing w:line="252" w:lineRule="auto"/>
              <w:ind w:left="95" w:right="180"/>
              <w:jc w:val="right"/>
              <w:rPr>
                <w:rFonts w:cstheme="minorHAnsi"/>
              </w:rPr>
            </w:pPr>
            <w:r w:rsidRPr="008B059D">
              <w:rPr>
                <w:rFonts w:cstheme="minorHAnsi"/>
              </w:rPr>
              <w:t>-0.8%</w:t>
            </w:r>
          </w:p>
        </w:tc>
      </w:tr>
      <w:tr w:rsidR="00EB49AC" w:rsidRPr="00DC55EC" w14:paraId="5E9F4508" w14:textId="77777777" w:rsidTr="00D34058">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E35102A" w14:textId="1F2832CD" w:rsidR="00EB49AC" w:rsidRPr="00956B75" w:rsidRDefault="00EB49AC" w:rsidP="00EB49AC">
            <w:pPr>
              <w:spacing w:line="252" w:lineRule="auto"/>
              <w:ind w:left="62" w:right="100"/>
              <w:rPr>
                <w:rFonts w:cstheme="minorHAnsi"/>
              </w:rPr>
            </w:pPr>
            <w:r w:rsidRPr="00956B75">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34BA03DC" w14:textId="4650E7B4" w:rsidR="00EB49AC" w:rsidRPr="00956B75" w:rsidRDefault="008B059D" w:rsidP="00EB49AC">
            <w:pPr>
              <w:spacing w:line="252" w:lineRule="auto"/>
              <w:ind w:right="100"/>
              <w:rPr>
                <w:rFonts w:cstheme="minorHAnsi"/>
              </w:rPr>
            </w:pPr>
            <w:r>
              <w:rPr>
                <w:rFonts w:cstheme="minorHAnsi"/>
              </w:rPr>
              <w:t>7,462</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5F32D846" w14:textId="151F0B48" w:rsidR="00EB49AC" w:rsidRPr="00956B75" w:rsidRDefault="008B059D" w:rsidP="00EB49AC">
            <w:pPr>
              <w:spacing w:line="252" w:lineRule="auto"/>
              <w:ind w:right="100"/>
              <w:rPr>
                <w:rFonts w:cstheme="minorHAnsi"/>
              </w:rPr>
            </w:pPr>
            <w:r>
              <w:rPr>
                <w:rFonts w:cstheme="minorHAnsi"/>
              </w:rPr>
              <w:t>7,151</w:t>
            </w:r>
          </w:p>
        </w:tc>
        <w:tc>
          <w:tcPr>
            <w:tcW w:w="1064" w:type="dxa"/>
            <w:tcBorders>
              <w:top w:val="nil"/>
              <w:left w:val="nil"/>
              <w:bottom w:val="nil"/>
              <w:right w:val="nil"/>
            </w:tcBorders>
            <w:shd w:val="clear" w:color="auto" w:fill="DEEAF6" w:themeFill="accent1" w:themeFillTint="33"/>
            <w:vAlign w:val="center"/>
          </w:tcPr>
          <w:p w14:paraId="3C9FEEF7" w14:textId="7F67C96A" w:rsidR="00EB49AC" w:rsidRPr="00956B75" w:rsidRDefault="008B059D" w:rsidP="00EB49AC">
            <w:pPr>
              <w:spacing w:line="252" w:lineRule="auto"/>
              <w:ind w:left="95" w:right="180"/>
              <w:jc w:val="right"/>
              <w:rPr>
                <w:rFonts w:cstheme="minorHAnsi"/>
              </w:rPr>
            </w:pPr>
            <w:r>
              <w:rPr>
                <w:rFonts w:cstheme="minorHAnsi"/>
              </w:rPr>
              <w:t>-4.2%</w:t>
            </w:r>
          </w:p>
        </w:tc>
      </w:tr>
      <w:tr w:rsidR="00EB49AC" w:rsidRPr="00DC55EC" w14:paraId="6E6AC74C" w14:textId="77777777" w:rsidTr="00407D21">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040448A1" w14:textId="116C9258" w:rsidR="00EB49AC" w:rsidRPr="00956B75" w:rsidRDefault="00EB49AC" w:rsidP="00EB49AC">
            <w:pPr>
              <w:spacing w:line="252" w:lineRule="auto"/>
              <w:ind w:left="62" w:right="100"/>
              <w:rPr>
                <w:rFonts w:cstheme="minorHAnsi"/>
              </w:rPr>
            </w:pPr>
            <w:r w:rsidRPr="00956B75">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336304BB" w14:textId="3D56CF06" w:rsidR="00EB49AC" w:rsidRPr="00956B75" w:rsidRDefault="008B059D" w:rsidP="00EB49AC">
            <w:pPr>
              <w:spacing w:line="252" w:lineRule="auto"/>
              <w:ind w:right="100"/>
              <w:rPr>
                <w:rFonts w:cstheme="minorHAnsi"/>
              </w:rPr>
            </w:pPr>
            <w:r>
              <w:rPr>
                <w:rFonts w:cstheme="minorHAnsi"/>
              </w:rPr>
              <w:t>2,467</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8B95545" w14:textId="63007E34" w:rsidR="00EB49AC" w:rsidRPr="00956B75" w:rsidRDefault="008B059D" w:rsidP="00EB49AC">
            <w:pPr>
              <w:spacing w:line="252" w:lineRule="auto"/>
              <w:ind w:right="100"/>
              <w:rPr>
                <w:rFonts w:cstheme="minorHAnsi"/>
              </w:rPr>
            </w:pPr>
            <w:r>
              <w:rPr>
                <w:rFonts w:cstheme="minorHAnsi"/>
              </w:rPr>
              <w:t>2,400</w:t>
            </w:r>
          </w:p>
        </w:tc>
        <w:tc>
          <w:tcPr>
            <w:tcW w:w="1064" w:type="dxa"/>
            <w:tcBorders>
              <w:top w:val="nil"/>
              <w:left w:val="nil"/>
              <w:bottom w:val="nil"/>
              <w:right w:val="nil"/>
            </w:tcBorders>
            <w:shd w:val="clear" w:color="auto" w:fill="auto"/>
            <w:vAlign w:val="center"/>
          </w:tcPr>
          <w:p w14:paraId="79092203" w14:textId="30E8B798" w:rsidR="00EB49AC" w:rsidRPr="00956B75" w:rsidRDefault="008B059D" w:rsidP="00EB49AC">
            <w:pPr>
              <w:spacing w:line="252" w:lineRule="auto"/>
              <w:ind w:left="95" w:right="180"/>
              <w:jc w:val="right"/>
              <w:rPr>
                <w:rFonts w:cstheme="minorHAnsi"/>
              </w:rPr>
            </w:pPr>
            <w:r>
              <w:rPr>
                <w:rFonts w:cstheme="minorHAnsi"/>
              </w:rPr>
              <w:t>-2.7%</w:t>
            </w:r>
          </w:p>
        </w:tc>
      </w:tr>
      <w:tr w:rsidR="00EB49AC" w:rsidRPr="00DC55EC" w14:paraId="25A3DBF1" w14:textId="77777777" w:rsidTr="00407D21">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1D41F27" w14:textId="1A396C9E" w:rsidR="00EB49AC" w:rsidRPr="00956B75" w:rsidRDefault="00EB49AC" w:rsidP="00EB49AC">
            <w:pPr>
              <w:spacing w:line="252" w:lineRule="auto"/>
              <w:ind w:left="62" w:right="100"/>
              <w:rPr>
                <w:rFonts w:cstheme="minorHAnsi"/>
              </w:rPr>
            </w:pPr>
            <w:r w:rsidRPr="00956B75">
              <w:rPr>
                <w:rFonts w:cstheme="minorHAnsi"/>
              </w:rPr>
              <w:t>Ozaukee</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31BBF7B5" w14:textId="1FDEB1C6" w:rsidR="00EB49AC" w:rsidRPr="00956B75" w:rsidRDefault="008B059D" w:rsidP="00EB49AC">
            <w:pPr>
              <w:spacing w:line="252" w:lineRule="auto"/>
              <w:ind w:right="100"/>
              <w:rPr>
                <w:rFonts w:cstheme="minorHAnsi"/>
              </w:rPr>
            </w:pPr>
            <w:r>
              <w:rPr>
                <w:rFonts w:cstheme="minorHAnsi"/>
              </w:rPr>
              <w:t>1,778</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31A9ABF" w14:textId="24F681CF" w:rsidR="00EB49AC" w:rsidRPr="00956B75" w:rsidRDefault="008B059D" w:rsidP="00EB49AC">
            <w:pPr>
              <w:spacing w:line="252" w:lineRule="auto"/>
              <w:ind w:right="100"/>
              <w:rPr>
                <w:rFonts w:cstheme="minorHAnsi"/>
              </w:rPr>
            </w:pPr>
            <w:r>
              <w:rPr>
                <w:rFonts w:cstheme="minorHAnsi"/>
              </w:rPr>
              <w:t>1,712</w:t>
            </w:r>
          </w:p>
        </w:tc>
        <w:tc>
          <w:tcPr>
            <w:tcW w:w="1064" w:type="dxa"/>
            <w:tcBorders>
              <w:top w:val="nil"/>
              <w:left w:val="nil"/>
              <w:bottom w:val="nil"/>
              <w:right w:val="nil"/>
            </w:tcBorders>
            <w:shd w:val="clear" w:color="auto" w:fill="DEEAF6" w:themeFill="accent1" w:themeFillTint="33"/>
            <w:vAlign w:val="center"/>
          </w:tcPr>
          <w:p w14:paraId="7EAF4981" w14:textId="1659BFB8" w:rsidR="00EB49AC" w:rsidRPr="00956B75" w:rsidRDefault="008B059D" w:rsidP="00EB49AC">
            <w:pPr>
              <w:spacing w:line="252" w:lineRule="auto"/>
              <w:ind w:left="95" w:right="180"/>
              <w:jc w:val="right"/>
              <w:rPr>
                <w:rFonts w:cstheme="minorHAnsi"/>
              </w:rPr>
            </w:pPr>
            <w:r>
              <w:rPr>
                <w:rFonts w:cstheme="minorHAnsi"/>
              </w:rPr>
              <w:t>-3.7%</w:t>
            </w:r>
          </w:p>
        </w:tc>
      </w:tr>
      <w:tr w:rsidR="00A761D3" w:rsidRPr="00DC55EC" w14:paraId="70771BE6" w14:textId="77777777" w:rsidTr="00407D21">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0D8BDEDE" w14:textId="3DA60419" w:rsidR="00A761D3" w:rsidRPr="00956B75" w:rsidRDefault="00A761D3" w:rsidP="00A761D3">
            <w:pPr>
              <w:spacing w:line="252" w:lineRule="auto"/>
              <w:ind w:left="62" w:right="100"/>
              <w:rPr>
                <w:rFonts w:cstheme="minorHAnsi"/>
              </w:rPr>
            </w:pPr>
            <w:r w:rsidRPr="00956B75">
              <w:rPr>
                <w:rFonts w:cstheme="minorHAnsi"/>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49F18FF6" w14:textId="28D5CC05" w:rsidR="00A761D3" w:rsidRPr="00956B75" w:rsidRDefault="008B059D" w:rsidP="00A761D3">
            <w:pPr>
              <w:spacing w:line="252" w:lineRule="auto"/>
              <w:ind w:right="100"/>
              <w:rPr>
                <w:rFonts w:cstheme="minorHAnsi"/>
              </w:rPr>
            </w:pPr>
            <w:r>
              <w:rPr>
                <w:rFonts w:cstheme="minorHAnsi"/>
              </w:rPr>
              <w:t>26,629</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532CBBBD" w14:textId="2D009750" w:rsidR="00A761D3" w:rsidRPr="00956B75" w:rsidRDefault="008B059D" w:rsidP="00A761D3">
            <w:pPr>
              <w:spacing w:line="252" w:lineRule="auto"/>
              <w:ind w:right="100"/>
              <w:rPr>
                <w:rFonts w:cstheme="minorHAnsi"/>
              </w:rPr>
            </w:pPr>
            <w:r>
              <w:rPr>
                <w:rFonts w:cstheme="minorHAnsi"/>
              </w:rPr>
              <w:t>26,068</w:t>
            </w:r>
          </w:p>
        </w:tc>
        <w:tc>
          <w:tcPr>
            <w:tcW w:w="1064" w:type="dxa"/>
            <w:tcBorders>
              <w:top w:val="nil"/>
              <w:left w:val="nil"/>
              <w:bottom w:val="nil"/>
              <w:right w:val="nil"/>
            </w:tcBorders>
            <w:shd w:val="clear" w:color="auto" w:fill="auto"/>
            <w:vAlign w:val="center"/>
          </w:tcPr>
          <w:p w14:paraId="762B26A9" w14:textId="3F5ACDFD" w:rsidR="00A761D3" w:rsidRPr="00956B75" w:rsidRDefault="008B059D" w:rsidP="00DC55EC">
            <w:pPr>
              <w:spacing w:line="252" w:lineRule="auto"/>
              <w:ind w:left="95" w:right="180"/>
              <w:jc w:val="right"/>
              <w:rPr>
                <w:rFonts w:cstheme="minorHAnsi"/>
              </w:rPr>
            </w:pPr>
            <w:r>
              <w:rPr>
                <w:rFonts w:cstheme="minorHAnsi"/>
              </w:rPr>
              <w:t>-2.1%</w:t>
            </w:r>
          </w:p>
        </w:tc>
      </w:tr>
      <w:tr w:rsidR="001A5F8A" w:rsidRPr="00DC55EC" w14:paraId="2AD2F4A7" w14:textId="77777777" w:rsidTr="00DC55EC">
        <w:trPr>
          <w:trHeight w:val="80"/>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E838AC" w14:textId="77777777" w:rsidR="001A5F8A" w:rsidRPr="00DC55EC" w:rsidRDefault="001A5F8A" w:rsidP="00DC55EC">
            <w:pPr>
              <w:spacing w:line="252" w:lineRule="auto"/>
              <w:ind w:left="95" w:right="180"/>
              <w:rPr>
                <w:rFonts w:cstheme="minorHAnsi"/>
                <w:sz w:val="10"/>
                <w:szCs w:val="10"/>
              </w:rPr>
            </w:pPr>
          </w:p>
        </w:tc>
      </w:tr>
      <w:tr w:rsidR="00EB49AC" w:rsidRPr="00DC55EC" w14:paraId="5AF340C1" w14:textId="77777777" w:rsidTr="00D34058">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70E00DD0" w14:textId="4108129E" w:rsidR="00EB49AC" w:rsidRPr="00DC55EC" w:rsidRDefault="00EB49AC" w:rsidP="00EB49AC">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5E7ED7F3" w14:textId="78E0E174" w:rsidR="00EB49AC" w:rsidRPr="00956B75" w:rsidRDefault="008922D3" w:rsidP="00EB49AC">
            <w:pPr>
              <w:spacing w:line="252" w:lineRule="auto"/>
              <w:ind w:right="100"/>
              <w:rPr>
                <w:rFonts w:cstheme="minorHAnsi"/>
              </w:rPr>
            </w:pPr>
            <w:r>
              <w:rPr>
                <w:rFonts w:cstheme="minorHAnsi"/>
              </w:rPr>
              <w:t>3,645</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432F7AFD" w14:textId="2A8AD7D8" w:rsidR="00EB49AC" w:rsidRPr="00956B75" w:rsidRDefault="008922D3" w:rsidP="00EB49AC">
            <w:pPr>
              <w:spacing w:line="252" w:lineRule="auto"/>
              <w:ind w:right="100"/>
              <w:rPr>
                <w:rFonts w:cstheme="minorHAnsi"/>
              </w:rPr>
            </w:pPr>
            <w:r>
              <w:rPr>
                <w:rFonts w:cstheme="minorHAnsi"/>
              </w:rPr>
              <w:t>3,591</w:t>
            </w:r>
          </w:p>
        </w:tc>
        <w:tc>
          <w:tcPr>
            <w:tcW w:w="1064" w:type="dxa"/>
            <w:tcBorders>
              <w:top w:val="nil"/>
              <w:left w:val="nil"/>
              <w:bottom w:val="nil"/>
              <w:right w:val="nil"/>
            </w:tcBorders>
            <w:shd w:val="clear" w:color="auto" w:fill="auto"/>
            <w:vAlign w:val="center"/>
          </w:tcPr>
          <w:p w14:paraId="0F8E2377" w14:textId="2B9F5B2B" w:rsidR="00EB49AC" w:rsidRPr="00956B75" w:rsidRDefault="008922D3" w:rsidP="00EB49AC">
            <w:pPr>
              <w:spacing w:line="252" w:lineRule="auto"/>
              <w:ind w:left="95" w:right="180"/>
              <w:jc w:val="right"/>
              <w:rPr>
                <w:rFonts w:cstheme="minorHAnsi"/>
              </w:rPr>
            </w:pPr>
            <w:r>
              <w:rPr>
                <w:rFonts w:cstheme="minorHAnsi"/>
              </w:rPr>
              <w:t>-1.5</w:t>
            </w:r>
            <w:r w:rsidR="008B059D">
              <w:rPr>
                <w:rFonts w:cstheme="minorHAnsi"/>
              </w:rPr>
              <w:t>%</w:t>
            </w:r>
          </w:p>
        </w:tc>
      </w:tr>
      <w:tr w:rsidR="00EB49AC" w:rsidRPr="00DC55EC" w14:paraId="62048583" w14:textId="77777777" w:rsidTr="00407D21">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B57066A" w14:textId="6282DE09" w:rsidR="00EB49AC" w:rsidRPr="00DC55EC" w:rsidRDefault="00EB49AC" w:rsidP="00EB49AC">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649DE9AC" w14:textId="66361DC4" w:rsidR="00EB49AC" w:rsidRPr="00956B75" w:rsidRDefault="008922D3" w:rsidP="00EB49AC">
            <w:pPr>
              <w:spacing w:line="252" w:lineRule="auto"/>
              <w:ind w:right="100"/>
              <w:rPr>
                <w:rFonts w:cstheme="minorHAnsi"/>
              </w:rPr>
            </w:pPr>
            <w:r>
              <w:rPr>
                <w:rFonts w:cstheme="minorHAnsi"/>
              </w:rPr>
              <w:t>3,114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91A4B2C" w14:textId="01645A6A" w:rsidR="00EB49AC" w:rsidRPr="00956B75" w:rsidRDefault="008922D3" w:rsidP="00EB49AC">
            <w:pPr>
              <w:spacing w:line="252" w:lineRule="auto"/>
              <w:ind w:right="100"/>
              <w:rPr>
                <w:rFonts w:cstheme="minorHAnsi"/>
              </w:rPr>
            </w:pPr>
            <w:r>
              <w:rPr>
                <w:rFonts w:cstheme="minorHAnsi"/>
              </w:rPr>
              <w:t>2,903</w:t>
            </w:r>
          </w:p>
        </w:tc>
        <w:tc>
          <w:tcPr>
            <w:tcW w:w="1064" w:type="dxa"/>
            <w:tcBorders>
              <w:top w:val="nil"/>
              <w:left w:val="nil"/>
              <w:bottom w:val="nil"/>
              <w:right w:val="nil"/>
            </w:tcBorders>
            <w:shd w:val="clear" w:color="auto" w:fill="DEEAF6" w:themeFill="accent1" w:themeFillTint="33"/>
            <w:vAlign w:val="center"/>
          </w:tcPr>
          <w:p w14:paraId="20C288BD" w14:textId="252741D7" w:rsidR="00EB49AC" w:rsidRPr="00956B75" w:rsidRDefault="008922D3" w:rsidP="00EB49AC">
            <w:pPr>
              <w:spacing w:line="252" w:lineRule="auto"/>
              <w:ind w:left="95" w:right="180"/>
              <w:jc w:val="right"/>
              <w:rPr>
                <w:rFonts w:cstheme="minorHAnsi"/>
              </w:rPr>
            </w:pPr>
            <w:r>
              <w:rPr>
                <w:rFonts w:cstheme="minorHAnsi"/>
              </w:rPr>
              <w:t>-6.8</w:t>
            </w:r>
            <w:r w:rsidR="008B059D">
              <w:rPr>
                <w:rFonts w:cstheme="minorHAnsi"/>
              </w:rPr>
              <w:t>%</w:t>
            </w:r>
          </w:p>
        </w:tc>
      </w:tr>
      <w:tr w:rsidR="00EB49AC" w:rsidRPr="00DC55EC" w14:paraId="5874CE6B" w14:textId="77777777" w:rsidTr="00407D21">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004F1819" w14:textId="141FD530" w:rsidR="00EB49AC" w:rsidRPr="00DC55EC" w:rsidRDefault="00EB49AC" w:rsidP="00EB49AC">
            <w:pPr>
              <w:spacing w:line="252" w:lineRule="auto"/>
              <w:ind w:left="62" w:right="100"/>
              <w:rPr>
                <w:rFonts w:cstheme="minorHAnsi"/>
              </w:rPr>
            </w:pPr>
            <w:r w:rsidRPr="00DC55EC">
              <w:rPr>
                <w:rFonts w:cstheme="minorHAnsi"/>
              </w:rPr>
              <w:t>Walworth</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55C2A1B" w14:textId="4520E782" w:rsidR="00EB49AC" w:rsidRPr="00956B75" w:rsidRDefault="008922D3" w:rsidP="00EB49AC">
            <w:pPr>
              <w:spacing w:line="252" w:lineRule="auto"/>
              <w:ind w:right="100"/>
              <w:rPr>
                <w:rFonts w:cstheme="minorHAnsi"/>
              </w:rPr>
            </w:pPr>
            <w:r>
              <w:rPr>
                <w:rFonts w:cstheme="minorHAnsi"/>
              </w:rPr>
              <w:t>2,447</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6BC84265" w14:textId="01ED38B4" w:rsidR="00EB49AC" w:rsidRPr="00956B75" w:rsidRDefault="008922D3" w:rsidP="00EB49AC">
            <w:pPr>
              <w:spacing w:line="252" w:lineRule="auto"/>
              <w:ind w:right="100"/>
              <w:rPr>
                <w:rFonts w:cstheme="minorHAnsi"/>
              </w:rPr>
            </w:pPr>
            <w:r>
              <w:rPr>
                <w:rFonts w:cstheme="minorHAnsi"/>
              </w:rPr>
              <w:t>2,361</w:t>
            </w:r>
          </w:p>
        </w:tc>
        <w:tc>
          <w:tcPr>
            <w:tcW w:w="1064" w:type="dxa"/>
            <w:tcBorders>
              <w:top w:val="nil"/>
              <w:left w:val="nil"/>
              <w:bottom w:val="nil"/>
              <w:right w:val="nil"/>
            </w:tcBorders>
            <w:shd w:val="clear" w:color="auto" w:fill="auto"/>
            <w:vAlign w:val="center"/>
          </w:tcPr>
          <w:p w14:paraId="7CA81D31" w14:textId="4372C4DD" w:rsidR="00EB49AC" w:rsidRPr="00956B75" w:rsidRDefault="008922D3" w:rsidP="00EB49AC">
            <w:pPr>
              <w:spacing w:line="252" w:lineRule="auto"/>
              <w:ind w:left="95" w:right="180"/>
              <w:jc w:val="right"/>
              <w:rPr>
                <w:rFonts w:cstheme="minorHAnsi"/>
              </w:rPr>
            </w:pPr>
            <w:r>
              <w:rPr>
                <w:rFonts w:cstheme="minorHAnsi"/>
              </w:rPr>
              <w:t>-3.5</w:t>
            </w:r>
            <w:r w:rsidR="008B059D">
              <w:rPr>
                <w:rFonts w:cstheme="minorHAnsi"/>
              </w:rPr>
              <w:t>%</w:t>
            </w:r>
          </w:p>
        </w:tc>
      </w:tr>
      <w:tr w:rsidR="004616F1" w:rsidRPr="00DC55EC" w14:paraId="2CA09C66" w14:textId="77777777" w:rsidTr="00407D21">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5029A0F" w14:textId="5A1C6DB0" w:rsidR="004616F1" w:rsidRPr="00DC55EC" w:rsidRDefault="0043444E" w:rsidP="001A5F8A">
            <w:pPr>
              <w:spacing w:line="252" w:lineRule="auto"/>
              <w:ind w:left="62" w:right="100"/>
              <w:rPr>
                <w:rFonts w:cstheme="minorHAnsi"/>
              </w:rPr>
            </w:pPr>
            <w:r w:rsidRPr="00DC55EC">
              <w:rPr>
                <w:rFonts w:cstheme="minorHAnsi"/>
              </w:rPr>
              <w:t xml:space="preserve">SE WI </w:t>
            </w:r>
            <w:r w:rsidR="004616F1" w:rsidRPr="00DC55EC">
              <w:rPr>
                <w:rFonts w:cstheme="minorHAnsi"/>
              </w:rPr>
              <w:t>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FDD1A34" w14:textId="1A5E3102" w:rsidR="004616F1" w:rsidRPr="00956B75" w:rsidRDefault="008922D3" w:rsidP="001A5F8A">
            <w:pPr>
              <w:spacing w:line="252" w:lineRule="auto"/>
              <w:ind w:right="100"/>
              <w:rPr>
                <w:rFonts w:cstheme="minorHAnsi"/>
              </w:rPr>
            </w:pPr>
            <w:r>
              <w:rPr>
                <w:rFonts w:cstheme="minorHAnsi"/>
              </w:rPr>
              <w:t>35,835</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042EDD2" w14:textId="04A4FA9B" w:rsidR="004616F1" w:rsidRPr="00956B75" w:rsidRDefault="008922D3" w:rsidP="001A5F8A">
            <w:pPr>
              <w:spacing w:line="252" w:lineRule="auto"/>
              <w:ind w:right="100"/>
              <w:rPr>
                <w:rFonts w:cstheme="minorHAnsi"/>
              </w:rPr>
            </w:pPr>
            <w:r>
              <w:rPr>
                <w:rFonts w:cstheme="minorHAnsi"/>
              </w:rPr>
              <w:t>34,923</w:t>
            </w:r>
          </w:p>
        </w:tc>
        <w:tc>
          <w:tcPr>
            <w:tcW w:w="1064" w:type="dxa"/>
            <w:tcBorders>
              <w:top w:val="nil"/>
              <w:left w:val="nil"/>
              <w:bottom w:val="nil"/>
              <w:right w:val="nil"/>
            </w:tcBorders>
            <w:shd w:val="clear" w:color="auto" w:fill="DEEAF6" w:themeFill="accent1" w:themeFillTint="33"/>
            <w:vAlign w:val="center"/>
          </w:tcPr>
          <w:p w14:paraId="12AA5C38" w14:textId="58C7825C" w:rsidR="004616F1" w:rsidRPr="00956B75" w:rsidRDefault="008922D3" w:rsidP="00DC55EC">
            <w:pPr>
              <w:spacing w:line="252" w:lineRule="auto"/>
              <w:ind w:left="95" w:right="180"/>
              <w:jc w:val="right"/>
              <w:rPr>
                <w:rFonts w:cstheme="minorHAnsi"/>
              </w:rPr>
            </w:pPr>
            <w:r>
              <w:rPr>
                <w:rFonts w:cstheme="minorHAnsi"/>
              </w:rPr>
              <w:t>-2.5</w:t>
            </w:r>
            <w:r w:rsidR="008B059D">
              <w:rPr>
                <w:rFonts w:cstheme="minorHAnsi"/>
              </w:rPr>
              <w:t>%</w:t>
            </w:r>
          </w:p>
        </w:tc>
      </w:tr>
    </w:tbl>
    <w:p w14:paraId="0612BD89" w14:textId="77777777" w:rsidR="00270753" w:rsidRDefault="00270753" w:rsidP="001A5F8A">
      <w:pPr>
        <w:spacing w:before="120" w:after="120"/>
        <w:ind w:right="-360"/>
        <w:contextualSpacing/>
        <w:rPr>
          <w:bCs/>
        </w:rPr>
      </w:pPr>
    </w:p>
    <w:p w14:paraId="4C92E1A1" w14:textId="79D1F0E0" w:rsidR="000F21F9" w:rsidRPr="0031621B" w:rsidRDefault="00FE64F6" w:rsidP="001A5F8A">
      <w:pPr>
        <w:spacing w:before="120" w:after="120"/>
        <w:ind w:right="-360"/>
        <w:contextualSpacing/>
        <w:rPr>
          <w:b/>
          <w:u w:val="single"/>
        </w:rPr>
      </w:pPr>
      <w:r w:rsidRPr="0031621B">
        <w:rPr>
          <w:b/>
        </w:rPr>
        <w:t>L</w:t>
      </w:r>
      <w:r w:rsidR="00156337" w:rsidRPr="0031621B">
        <w:rPr>
          <w:b/>
        </w:rPr>
        <w:t>istings</w:t>
      </w:r>
    </w:p>
    <w:p w14:paraId="51A28680" w14:textId="77777777" w:rsidR="00AB0545" w:rsidRDefault="005460CE" w:rsidP="006D6799">
      <w:pPr>
        <w:spacing w:before="120" w:after="120"/>
        <w:ind w:left="-360" w:right="-360"/>
        <w:contextualSpacing/>
      </w:pPr>
      <w:r w:rsidRPr="0031621B">
        <w:t xml:space="preserve">Listings were </w:t>
      </w:r>
      <w:r w:rsidR="00DF411E">
        <w:t xml:space="preserve">up in most of </w:t>
      </w:r>
      <w:r w:rsidR="0060287B">
        <w:t xml:space="preserve">the region in </w:t>
      </w:r>
      <w:r w:rsidR="00E5715D">
        <w:t>December</w:t>
      </w:r>
      <w:r w:rsidR="006D6799">
        <w:t xml:space="preserve"> –</w:t>
      </w:r>
      <w:r w:rsidR="0060287B">
        <w:t xml:space="preserve"> </w:t>
      </w:r>
      <w:r w:rsidR="006D6799">
        <w:t>a promising development</w:t>
      </w:r>
      <w:r w:rsidR="00742C85" w:rsidRPr="0031621B">
        <w:t>.</w:t>
      </w:r>
      <w:r w:rsidR="006D6799">
        <w:t xml:space="preserve"> </w:t>
      </w:r>
    </w:p>
    <w:p w14:paraId="49EE3151" w14:textId="77777777" w:rsidR="00AB0545" w:rsidRDefault="00AB0545" w:rsidP="006D6799">
      <w:pPr>
        <w:spacing w:before="120" w:after="120"/>
        <w:ind w:left="-360" w:right="-360"/>
        <w:contextualSpacing/>
      </w:pPr>
    </w:p>
    <w:p w14:paraId="6B90745C" w14:textId="00A51BC3" w:rsidR="006D6799" w:rsidRDefault="006D6799" w:rsidP="006D6799">
      <w:pPr>
        <w:spacing w:before="120" w:after="120"/>
        <w:ind w:left="-360" w:right="-360"/>
        <w:contextualSpacing/>
      </w:pPr>
      <w:r>
        <w:t>However, listings t</w:t>
      </w:r>
      <w:r w:rsidR="001A5F8A">
        <w:t>h</w:t>
      </w:r>
      <w:r>
        <w:t>rough th</w:t>
      </w:r>
      <w:r w:rsidR="001A5F8A">
        <w:t xml:space="preserve">e </w:t>
      </w:r>
      <w:r w:rsidR="00AB0545">
        <w:t xml:space="preserve">end of the year </w:t>
      </w:r>
      <w:r>
        <w:t xml:space="preserve">tell a more accurate story of how much supply is coming online. </w:t>
      </w:r>
    </w:p>
    <w:p w14:paraId="0EABDF97" w14:textId="7CA0689C" w:rsidR="006D6799" w:rsidRDefault="006D6799" w:rsidP="001A5F8A">
      <w:pPr>
        <w:spacing w:before="120" w:after="120"/>
        <w:ind w:right="-360"/>
        <w:contextualSpacing/>
      </w:pPr>
    </w:p>
    <w:p w14:paraId="30DA18C4" w14:textId="12CC5A92" w:rsidR="006D6799" w:rsidRDefault="00AB0545" w:rsidP="001A5F8A">
      <w:pPr>
        <w:spacing w:before="120" w:after="120"/>
        <w:ind w:right="-360"/>
        <w:contextualSpacing/>
      </w:pPr>
      <w:r>
        <w:t>As the 2020 Listings table (to the left) shows</w:t>
      </w:r>
      <w:r w:rsidR="006D6799">
        <w:t xml:space="preserve">, listings were down in all 7 SE Wisconsin counties, continuing a troubling trend. </w:t>
      </w:r>
    </w:p>
    <w:p w14:paraId="6320CE8A" w14:textId="77777777" w:rsidR="006D6799" w:rsidRDefault="006D6799" w:rsidP="001A5F8A">
      <w:pPr>
        <w:spacing w:before="120" w:after="120"/>
        <w:ind w:right="-360"/>
        <w:contextualSpacing/>
      </w:pPr>
    </w:p>
    <w:p w14:paraId="1AF5FE6F" w14:textId="0541916C" w:rsidR="0091767C" w:rsidRDefault="0089320B" w:rsidP="00DD2BDC">
      <w:pPr>
        <w:spacing w:before="120" w:after="120"/>
        <w:ind w:left="-360" w:right="-360"/>
        <w:contextualSpacing/>
      </w:pPr>
      <w:r w:rsidRPr="0031621B">
        <w:t>Since the</w:t>
      </w:r>
      <w:r w:rsidR="00657D2E" w:rsidRPr="0031621B">
        <w:t xml:space="preserve"> beginning of 201</w:t>
      </w:r>
      <w:r w:rsidR="00A92D0C">
        <w:t>6</w:t>
      </w:r>
      <w:r w:rsidR="00657D2E" w:rsidRPr="0031621B">
        <w:t xml:space="preserve">, a span of </w:t>
      </w:r>
      <w:r w:rsidR="00AB0545">
        <w:t>60</w:t>
      </w:r>
      <w:r w:rsidRPr="0031621B">
        <w:t xml:space="preserve"> months, </w:t>
      </w:r>
      <w:r w:rsidR="00A92D0C">
        <w:t xml:space="preserve">only </w:t>
      </w:r>
      <w:r w:rsidR="00B40DFC">
        <w:t>2</w:t>
      </w:r>
      <w:r w:rsidR="00AB0545">
        <w:t>5</w:t>
      </w:r>
      <w:r w:rsidRPr="0031621B">
        <w:t xml:space="preserve"> months</w:t>
      </w:r>
      <w:r w:rsidR="0091767C">
        <w:t xml:space="preserve"> – </w:t>
      </w:r>
      <w:r w:rsidR="00AB0545">
        <w:t>42</w:t>
      </w:r>
      <w:r w:rsidR="00E72019" w:rsidRPr="0031621B">
        <w:t>%</w:t>
      </w:r>
      <w:r w:rsidR="0091767C">
        <w:t xml:space="preserve"> of the time – </w:t>
      </w:r>
      <w:r w:rsidR="00E72019" w:rsidRPr="0031621B">
        <w:t>had a</w:t>
      </w:r>
      <w:r w:rsidR="00A92D0C">
        <w:t>n in</w:t>
      </w:r>
      <w:r w:rsidRPr="0031621B">
        <w:t>crease in homes listed for sale.</w:t>
      </w:r>
      <w:r w:rsidR="00DD2BDC">
        <w:t xml:space="preserve"> </w:t>
      </w:r>
    </w:p>
    <w:p w14:paraId="1BFE97E9" w14:textId="77777777" w:rsidR="0091767C" w:rsidRDefault="0091767C" w:rsidP="00DD2BDC">
      <w:pPr>
        <w:spacing w:before="120" w:after="120"/>
        <w:ind w:left="-360" w:right="-360"/>
        <w:contextualSpacing/>
      </w:pPr>
    </w:p>
    <w:p w14:paraId="319B5EA1" w14:textId="1AC2378B" w:rsidR="0031621B" w:rsidRDefault="00AB0545" w:rsidP="00DD2BDC">
      <w:pPr>
        <w:spacing w:before="120" w:after="120"/>
        <w:ind w:left="-360" w:right="-360"/>
        <w:contextualSpacing/>
      </w:pPr>
      <w:r>
        <w:t>The last 5 months of 2020 did see an increase in listings, however, that was likely due to sellers taking advantage of market conditions rather than an actual increase in the total number of dwellings in the area</w:t>
      </w:r>
      <w:r w:rsidR="0023346D" w:rsidRPr="0031621B">
        <w:t>.</w:t>
      </w:r>
      <w:r w:rsidR="00E72019" w:rsidRPr="0031621B">
        <w:t xml:space="preserve"> </w:t>
      </w:r>
    </w:p>
    <w:p w14:paraId="7C84929C" w14:textId="04F970F3" w:rsidR="00DD2BDC" w:rsidRDefault="00DD2BDC" w:rsidP="00DD2BDC">
      <w:pPr>
        <w:spacing w:before="120" w:after="120"/>
        <w:ind w:left="-360" w:right="-360"/>
        <w:contextualSpacing/>
      </w:pPr>
    </w:p>
    <w:p w14:paraId="7B576A64" w14:textId="77777777" w:rsidR="0091767C" w:rsidRDefault="00DD2BDC" w:rsidP="00DD2BDC">
      <w:pPr>
        <w:spacing w:before="120" w:after="120"/>
        <w:ind w:left="-360" w:right="-360"/>
        <w:contextualSpacing/>
      </w:pPr>
      <w:r>
        <w:t xml:space="preserve">That dynamic explains why prices have been increasing, and why </w:t>
      </w:r>
      <w:r w:rsidR="0044014E">
        <w:t xml:space="preserve">buyers have had a hard time finding properties to choose from. </w:t>
      </w:r>
    </w:p>
    <w:p w14:paraId="0EE92393" w14:textId="77777777" w:rsidR="0091767C" w:rsidRDefault="0091767C" w:rsidP="00DD2BDC">
      <w:pPr>
        <w:spacing w:before="120" w:after="120"/>
        <w:ind w:left="-360" w:right="-360"/>
        <w:contextualSpacing/>
      </w:pPr>
    </w:p>
    <w:p w14:paraId="2BD24C70" w14:textId="77777777" w:rsidR="00A25A48" w:rsidRDefault="00A25A48" w:rsidP="00DD2BDC">
      <w:pPr>
        <w:spacing w:before="120" w:after="120"/>
        <w:ind w:left="-360" w:right="-360"/>
        <w:contextualSpacing/>
      </w:pPr>
    </w:p>
    <w:p w14:paraId="769F5C1A" w14:textId="27D98D77" w:rsidR="00A92D0C" w:rsidRPr="00A92D0C" w:rsidRDefault="0043444E" w:rsidP="00AB0545">
      <w:pPr>
        <w:spacing w:before="120" w:after="120"/>
        <w:ind w:left="-360" w:right="-360"/>
        <w:contextualSpacing/>
      </w:pPr>
      <w:r>
        <w:t xml:space="preserve"> </w:t>
      </w:r>
    </w:p>
    <w:p w14:paraId="35EFCA6D" w14:textId="77777777" w:rsidR="0091767C" w:rsidRPr="0031621B" w:rsidRDefault="0091767C" w:rsidP="001F5CBD">
      <w:pPr>
        <w:spacing w:before="120" w:after="120"/>
        <w:ind w:left="-360" w:right="-360"/>
        <w:contextualSpacing/>
      </w:pPr>
    </w:p>
    <w:p w14:paraId="3BEB71B1" w14:textId="77777777" w:rsidR="00127EF0" w:rsidRPr="0031621B" w:rsidRDefault="00127EF0" w:rsidP="001F5CBD">
      <w:pPr>
        <w:spacing w:before="120" w:after="120"/>
        <w:ind w:left="-360" w:right="-360"/>
        <w:contextualSpacing/>
        <w:jc w:val="both"/>
        <w:rPr>
          <w:b/>
          <w:bCs/>
          <w:u w:val="single"/>
        </w:rPr>
      </w:pPr>
      <w:r w:rsidRPr="0031621B">
        <w:rPr>
          <w:b/>
          <w:bCs/>
          <w:u w:val="single"/>
        </w:rPr>
        <w:t>Where to go</w:t>
      </w:r>
    </w:p>
    <w:p w14:paraId="52756C8A" w14:textId="77777777" w:rsidR="00127EF0" w:rsidRPr="0031621B" w:rsidRDefault="00127EF0" w:rsidP="001F5CBD">
      <w:pPr>
        <w:spacing w:before="120" w:after="120"/>
        <w:ind w:left="-360" w:right="-360"/>
        <w:contextualSpacing/>
      </w:pPr>
      <w:r w:rsidRPr="0031621B">
        <w:t>Buyers should seek the counsel of a REALTOR® in determining their best housing options, and sellers need a REALTORS® expert advice in making correct marketing decisions with their home</w:t>
      </w:r>
      <w:r w:rsidR="001B4CFE" w:rsidRPr="0031621B">
        <w:t>s</w:t>
      </w:r>
      <w:r w:rsidRPr="0031621B">
        <w:t>.</w:t>
      </w:r>
    </w:p>
    <w:p w14:paraId="7DD1D0C8" w14:textId="77777777" w:rsidR="00127EF0" w:rsidRPr="0031621B" w:rsidRDefault="00127EF0" w:rsidP="001F5CBD">
      <w:pPr>
        <w:spacing w:before="120" w:after="120"/>
        <w:ind w:left="-360" w:right="-360"/>
        <w:contextualSpacing/>
      </w:pPr>
    </w:p>
    <w:p w14:paraId="75438303" w14:textId="2128886F" w:rsidR="00127EF0" w:rsidRPr="0031621B" w:rsidRDefault="00127EF0" w:rsidP="001F5CBD">
      <w:pPr>
        <w:spacing w:before="120" w:after="120"/>
        <w:ind w:left="-360" w:right="-360"/>
        <w:contextualSpacing/>
      </w:pPr>
      <w:r w:rsidRPr="0031621B">
        <w:t>The Greater Milwaukee Association of REALTORS</w:t>
      </w:r>
      <w:r w:rsidRPr="0031621B">
        <w:rPr>
          <w:vertAlign w:val="superscript"/>
        </w:rPr>
        <w:t>®</w:t>
      </w:r>
      <w:r w:rsidRPr="0031621B">
        <w:t xml:space="preserve"> is a </w:t>
      </w:r>
      <w:r w:rsidR="00075CB8">
        <w:t>5</w:t>
      </w:r>
      <w:r w:rsidRPr="0031621B">
        <w:t xml:space="preserve">,000-member strong professional organization dedicated to providing information, </w:t>
      </w:r>
      <w:r w:rsidR="00407D21" w:rsidRPr="0031621B">
        <w:t>services,</w:t>
      </w:r>
      <w:r w:rsidRPr="0031621B">
        <w:t xml:space="preserve"> and products to help REALTORS</w:t>
      </w:r>
      <w:r w:rsidRPr="0031621B">
        <w:rPr>
          <w:vertAlign w:val="superscript"/>
        </w:rPr>
        <w:t>®</w:t>
      </w:r>
      <w:r w:rsidRPr="0031621B">
        <w:t xml:space="preserve"> help their clients buy and sell real estate.  Data for this report was collected by Metro MLS, Inc. a wholly</w:t>
      </w:r>
      <w:r w:rsidR="0043444E">
        <w:t xml:space="preserve"> </w:t>
      </w:r>
      <w:r w:rsidRPr="0031621B">
        <w:t>owned subsidiary of the GMAR.</w:t>
      </w:r>
    </w:p>
    <w:p w14:paraId="3A05FBC2" w14:textId="77777777" w:rsidR="00127EF0" w:rsidRDefault="00127EF0" w:rsidP="001F5CBD">
      <w:pPr>
        <w:spacing w:before="120" w:after="120"/>
        <w:ind w:left="-360" w:right="-360"/>
        <w:contextualSpacing/>
      </w:pPr>
    </w:p>
    <w:p w14:paraId="12980A16" w14:textId="77777777" w:rsidR="00AE6343" w:rsidRPr="0031621B" w:rsidRDefault="00AE6343" w:rsidP="001F5CBD">
      <w:pPr>
        <w:spacing w:before="120" w:after="120"/>
        <w:ind w:left="-360" w:right="-360"/>
        <w:contextualSpacing/>
      </w:pPr>
    </w:p>
    <w:p w14:paraId="6DC7A1D7" w14:textId="467E4CA9" w:rsidR="00127EF0" w:rsidRDefault="00127EF0" w:rsidP="001F5CBD">
      <w:pPr>
        <w:spacing w:before="120" w:after="120"/>
        <w:ind w:left="-360" w:right="-360"/>
        <w:contextualSpacing/>
        <w:jc w:val="both"/>
        <w:rPr>
          <w:sz w:val="20"/>
          <w:szCs w:val="20"/>
        </w:rPr>
      </w:pPr>
      <w:r>
        <w:rPr>
          <w:sz w:val="20"/>
          <w:szCs w:val="20"/>
        </w:rPr>
        <w:t>* Sales and Listing figures differ b</w:t>
      </w:r>
      <w:r w:rsidR="00DC6504">
        <w:rPr>
          <w:sz w:val="20"/>
          <w:szCs w:val="20"/>
        </w:rPr>
        <w:t>etween the “Monthly Stats” and quarter</w:t>
      </w:r>
      <w:r>
        <w:rPr>
          <w:sz w:val="20"/>
          <w:szCs w:val="20"/>
        </w:rPr>
        <w:t xml:space="preserve"> or year-end </w:t>
      </w:r>
      <w:r w:rsidR="00DC6504">
        <w:rPr>
          <w:sz w:val="20"/>
          <w:szCs w:val="20"/>
        </w:rPr>
        <w:t xml:space="preserve">numbers, </w:t>
      </w:r>
      <w:r>
        <w:rPr>
          <w:sz w:val="20"/>
          <w:szCs w:val="20"/>
        </w:rPr>
        <w:t>because the collection of Monthly Stats ends on the 10</w:t>
      </w:r>
      <w:r>
        <w:rPr>
          <w:sz w:val="20"/>
          <w:szCs w:val="20"/>
          <w:vertAlign w:val="superscript"/>
        </w:rPr>
        <w:t>th</w:t>
      </w:r>
      <w:r>
        <w:rPr>
          <w:sz w:val="20"/>
          <w:szCs w:val="20"/>
        </w:rPr>
        <w:t xml:space="preserve"> of each month</w:t>
      </w:r>
      <w:r w:rsidR="0043444E">
        <w:rPr>
          <w:sz w:val="20"/>
          <w:szCs w:val="20"/>
        </w:rPr>
        <w:t>,</w:t>
      </w:r>
      <w:r>
        <w:rPr>
          <w:sz w:val="20"/>
          <w:szCs w:val="20"/>
        </w:rPr>
        <w:t xml:space="preserve"> whereas </w:t>
      </w:r>
      <w:r w:rsidR="00DC6504">
        <w:rPr>
          <w:sz w:val="20"/>
          <w:szCs w:val="20"/>
        </w:rPr>
        <w:t>quarters are</w:t>
      </w:r>
      <w:r>
        <w:rPr>
          <w:sz w:val="20"/>
          <w:szCs w:val="20"/>
        </w:rPr>
        <w:t xml:space="preserve"> a continuous tally to 12/31.  For example, if a sale occurred on July 29</w:t>
      </w:r>
      <w:r>
        <w:rPr>
          <w:sz w:val="20"/>
          <w:szCs w:val="20"/>
          <w:vertAlign w:val="superscript"/>
        </w:rPr>
        <w:t>th</w:t>
      </w:r>
      <w:r>
        <w:rPr>
          <w:sz w:val="20"/>
          <w:szCs w:val="20"/>
        </w:rPr>
        <w:t xml:space="preserve">, but </w:t>
      </w:r>
      <w:r w:rsidR="00DC6504">
        <w:rPr>
          <w:sz w:val="20"/>
          <w:szCs w:val="20"/>
        </w:rPr>
        <w:t xml:space="preserve">an </w:t>
      </w:r>
      <w:r>
        <w:rPr>
          <w:sz w:val="20"/>
          <w:szCs w:val="20"/>
        </w:rPr>
        <w:t xml:space="preserve">agent does not record the sale until August </w:t>
      </w:r>
      <w:r w:rsidR="0031482E">
        <w:rPr>
          <w:sz w:val="20"/>
          <w:szCs w:val="20"/>
        </w:rPr>
        <w:t>5</w:t>
      </w:r>
      <w:r>
        <w:rPr>
          <w:sz w:val="20"/>
          <w:szCs w:val="20"/>
          <w:vertAlign w:val="superscript"/>
        </w:rPr>
        <w:t>th</w:t>
      </w:r>
      <w:r>
        <w:rPr>
          <w:sz w:val="20"/>
          <w:szCs w:val="20"/>
        </w:rPr>
        <w:t xml:space="preserve">, that sale would not be included in the July sales figures (or any subsequent month’s total) but would be added to the </w:t>
      </w:r>
      <w:r w:rsidR="00DC6504">
        <w:rPr>
          <w:sz w:val="20"/>
          <w:szCs w:val="20"/>
        </w:rPr>
        <w:t xml:space="preserve">quarterly and </w:t>
      </w:r>
      <w:r>
        <w:rPr>
          <w:sz w:val="20"/>
          <w:szCs w:val="20"/>
        </w:rPr>
        <w:t>annual total sales figure</w:t>
      </w:r>
      <w:r w:rsidR="00DC6504">
        <w:rPr>
          <w:sz w:val="20"/>
          <w:szCs w:val="20"/>
        </w:rPr>
        <w:t>s</w:t>
      </w:r>
      <w:r>
        <w:rPr>
          <w:sz w:val="20"/>
          <w:szCs w:val="20"/>
        </w:rPr>
        <w:t>.</w:t>
      </w:r>
      <w:r w:rsidR="0031482E">
        <w:rPr>
          <w:sz w:val="20"/>
          <w:szCs w:val="20"/>
        </w:rPr>
        <w:t xml:space="preserve"> </w:t>
      </w:r>
    </w:p>
    <w:p w14:paraId="7DEFE1D9" w14:textId="76B84D3C" w:rsidR="00075CB8" w:rsidRDefault="00075CB8" w:rsidP="001F5CBD">
      <w:pPr>
        <w:spacing w:before="120" w:after="120"/>
        <w:ind w:left="-360" w:right="-360"/>
        <w:contextualSpacing/>
        <w:jc w:val="both"/>
        <w:rPr>
          <w:sz w:val="20"/>
          <w:szCs w:val="20"/>
        </w:rPr>
      </w:pPr>
    </w:p>
    <w:p w14:paraId="1777E1B9" w14:textId="4ED1FBA4" w:rsidR="00075CB8" w:rsidRDefault="00075CB8" w:rsidP="001F5CBD">
      <w:pPr>
        <w:spacing w:before="120" w:after="120"/>
        <w:ind w:left="-360" w:right="-360"/>
        <w:contextualSpacing/>
        <w:jc w:val="both"/>
        <w:rPr>
          <w:sz w:val="20"/>
          <w:szCs w:val="20"/>
        </w:rPr>
      </w:pPr>
      <w:r>
        <w:rPr>
          <w:sz w:val="20"/>
          <w:szCs w:val="20"/>
        </w:rPr>
        <w:t>** All references to the “metropolitan” area denotes the 4 counties of Milwaukee, Waukesha, Ozaukee and Washington Counties. The “region” or “Southeast Wisconsin” refers to the 4 metropolitan counties (Milwaukee, Waukesha, Ozaukee and Washington), plus the 3 counties to the south, Racine, Kenosha and Walworth Counties.</w:t>
      </w:r>
    </w:p>
    <w:p w14:paraId="1E98A99F" w14:textId="77777777" w:rsidR="00127EF0" w:rsidRDefault="00127EF0" w:rsidP="001F5CBD">
      <w:pPr>
        <w:spacing w:before="120" w:after="120"/>
        <w:ind w:left="-360" w:right="-360"/>
        <w:contextualSpacing/>
        <w:rPr>
          <w:sz w:val="24"/>
          <w:szCs w:val="24"/>
        </w:rPr>
      </w:pPr>
    </w:p>
    <w:p w14:paraId="15A764DF" w14:textId="61770453" w:rsidR="00323325" w:rsidRDefault="00127EF0" w:rsidP="00886BD5">
      <w:pPr>
        <w:spacing w:before="120" w:after="120"/>
        <w:ind w:left="-360" w:right="-360"/>
        <w:contextualSpacing/>
        <w:jc w:val="center"/>
        <w:rPr>
          <w:sz w:val="24"/>
          <w:szCs w:val="24"/>
        </w:rPr>
      </w:pPr>
      <w:r>
        <w:rPr>
          <w:b/>
          <w:bCs/>
          <w:sz w:val="24"/>
          <w:szCs w:val="24"/>
        </w:rPr>
        <w:t>*     *     *     *     *</w:t>
      </w:r>
      <w:bookmarkEnd w:id="0"/>
    </w:p>
    <w:p w14:paraId="2DEDBEE4" w14:textId="77777777" w:rsidR="00886BD5" w:rsidRPr="00886BD5" w:rsidRDefault="00886BD5" w:rsidP="00886BD5">
      <w:pPr>
        <w:spacing w:before="120" w:after="120"/>
        <w:ind w:left="-360" w:right="-360"/>
        <w:contextualSpacing/>
        <w:jc w:val="center"/>
        <w:rPr>
          <w:sz w:val="24"/>
          <w:szCs w:val="24"/>
        </w:rPr>
      </w:pPr>
    </w:p>
    <w:sectPr w:rsidR="00886BD5" w:rsidRPr="00886BD5" w:rsidSect="003B327A">
      <w:footerReference w:type="default" r:id="rId17"/>
      <w:pgSz w:w="12240" w:h="15840"/>
      <w:pgMar w:top="720"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B97B" w14:textId="77777777" w:rsidR="00377E8C" w:rsidRDefault="00377E8C" w:rsidP="003B327A">
      <w:r>
        <w:separator/>
      </w:r>
    </w:p>
  </w:endnote>
  <w:endnote w:type="continuationSeparator" w:id="0">
    <w:p w14:paraId="145FC99C" w14:textId="77777777" w:rsidR="00377E8C" w:rsidRDefault="00377E8C"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911470"/>
      <w:docPartObj>
        <w:docPartGallery w:val="Page Numbers (Bottom of Page)"/>
        <w:docPartUnique/>
      </w:docPartObj>
    </w:sdtPr>
    <w:sdtEndPr>
      <w:rPr>
        <w:noProof/>
      </w:rPr>
    </w:sdtEndPr>
    <w:sdtContent>
      <w:p w14:paraId="50B44136" w14:textId="7CC7BE66" w:rsidR="003B327A" w:rsidRDefault="003B32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9DD8E" w14:textId="77777777" w:rsidR="003B327A" w:rsidRDefault="003B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5798C" w14:textId="77777777" w:rsidR="00377E8C" w:rsidRDefault="00377E8C" w:rsidP="003B327A">
      <w:r>
        <w:separator/>
      </w:r>
    </w:p>
  </w:footnote>
  <w:footnote w:type="continuationSeparator" w:id="0">
    <w:p w14:paraId="75CC8228" w14:textId="77777777" w:rsidR="00377E8C" w:rsidRDefault="00377E8C" w:rsidP="003B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535B"/>
    <w:rsid w:val="00010A1A"/>
    <w:rsid w:val="000231FD"/>
    <w:rsid w:val="00027002"/>
    <w:rsid w:val="00027936"/>
    <w:rsid w:val="000418A7"/>
    <w:rsid w:val="00050EC7"/>
    <w:rsid w:val="00057F91"/>
    <w:rsid w:val="000643AB"/>
    <w:rsid w:val="00075CB8"/>
    <w:rsid w:val="00080E07"/>
    <w:rsid w:val="0008180B"/>
    <w:rsid w:val="00081B02"/>
    <w:rsid w:val="00085C75"/>
    <w:rsid w:val="000871EE"/>
    <w:rsid w:val="00087232"/>
    <w:rsid w:val="000A3217"/>
    <w:rsid w:val="000C5D86"/>
    <w:rsid w:val="000F21F9"/>
    <w:rsid w:val="001111CB"/>
    <w:rsid w:val="00124A77"/>
    <w:rsid w:val="00127EF0"/>
    <w:rsid w:val="001312C0"/>
    <w:rsid w:val="00156337"/>
    <w:rsid w:val="00157115"/>
    <w:rsid w:val="00162A57"/>
    <w:rsid w:val="001710C0"/>
    <w:rsid w:val="00172E7E"/>
    <w:rsid w:val="00176044"/>
    <w:rsid w:val="001813B3"/>
    <w:rsid w:val="00183378"/>
    <w:rsid w:val="001865ED"/>
    <w:rsid w:val="001A060A"/>
    <w:rsid w:val="001A5F8A"/>
    <w:rsid w:val="001B4CFE"/>
    <w:rsid w:val="001B610A"/>
    <w:rsid w:val="001C2406"/>
    <w:rsid w:val="001C2B1D"/>
    <w:rsid w:val="001C62A3"/>
    <w:rsid w:val="001D27D9"/>
    <w:rsid w:val="001D7B23"/>
    <w:rsid w:val="001F0911"/>
    <w:rsid w:val="001F245E"/>
    <w:rsid w:val="001F5CBD"/>
    <w:rsid w:val="00205183"/>
    <w:rsid w:val="00211BC4"/>
    <w:rsid w:val="002156E5"/>
    <w:rsid w:val="002228CD"/>
    <w:rsid w:val="0023346D"/>
    <w:rsid w:val="002369FD"/>
    <w:rsid w:val="00241968"/>
    <w:rsid w:val="00261855"/>
    <w:rsid w:val="00270176"/>
    <w:rsid w:val="00270753"/>
    <w:rsid w:val="002A78ED"/>
    <w:rsid w:val="002B5840"/>
    <w:rsid w:val="002C12CA"/>
    <w:rsid w:val="002E391A"/>
    <w:rsid w:val="002F59D0"/>
    <w:rsid w:val="003014F6"/>
    <w:rsid w:val="003105DB"/>
    <w:rsid w:val="00314345"/>
    <w:rsid w:val="0031482E"/>
    <w:rsid w:val="0031621B"/>
    <w:rsid w:val="003176C9"/>
    <w:rsid w:val="00323325"/>
    <w:rsid w:val="00326B56"/>
    <w:rsid w:val="0033059A"/>
    <w:rsid w:val="0033168B"/>
    <w:rsid w:val="00354473"/>
    <w:rsid w:val="003639E9"/>
    <w:rsid w:val="003724B8"/>
    <w:rsid w:val="00377E8C"/>
    <w:rsid w:val="00377E9E"/>
    <w:rsid w:val="003B1886"/>
    <w:rsid w:val="003B327A"/>
    <w:rsid w:val="003C5FD7"/>
    <w:rsid w:val="003F403D"/>
    <w:rsid w:val="0040188A"/>
    <w:rsid w:val="00407D21"/>
    <w:rsid w:val="00416329"/>
    <w:rsid w:val="004217B7"/>
    <w:rsid w:val="0043444E"/>
    <w:rsid w:val="00435320"/>
    <w:rsid w:val="00437958"/>
    <w:rsid w:val="00437E34"/>
    <w:rsid w:val="0044014E"/>
    <w:rsid w:val="004433DB"/>
    <w:rsid w:val="00450916"/>
    <w:rsid w:val="00460083"/>
    <w:rsid w:val="004616F1"/>
    <w:rsid w:val="00470AB1"/>
    <w:rsid w:val="0047433E"/>
    <w:rsid w:val="00476AA0"/>
    <w:rsid w:val="0048406D"/>
    <w:rsid w:val="004A1A6C"/>
    <w:rsid w:val="004A5FC1"/>
    <w:rsid w:val="004B1439"/>
    <w:rsid w:val="004C7E31"/>
    <w:rsid w:val="004E6E55"/>
    <w:rsid w:val="00503E46"/>
    <w:rsid w:val="00510938"/>
    <w:rsid w:val="005160A6"/>
    <w:rsid w:val="005170D2"/>
    <w:rsid w:val="0052049F"/>
    <w:rsid w:val="00534DD3"/>
    <w:rsid w:val="0054105F"/>
    <w:rsid w:val="005460CE"/>
    <w:rsid w:val="005478AC"/>
    <w:rsid w:val="005552A3"/>
    <w:rsid w:val="0055631D"/>
    <w:rsid w:val="00556E33"/>
    <w:rsid w:val="005640BF"/>
    <w:rsid w:val="005650BC"/>
    <w:rsid w:val="0057459F"/>
    <w:rsid w:val="00577F84"/>
    <w:rsid w:val="00580AAD"/>
    <w:rsid w:val="00585519"/>
    <w:rsid w:val="0059459C"/>
    <w:rsid w:val="0059620F"/>
    <w:rsid w:val="005C4AF7"/>
    <w:rsid w:val="005E4C81"/>
    <w:rsid w:val="00602021"/>
    <w:rsid w:val="0060287B"/>
    <w:rsid w:val="00603A94"/>
    <w:rsid w:val="006213F9"/>
    <w:rsid w:val="00623E52"/>
    <w:rsid w:val="00627F72"/>
    <w:rsid w:val="00636212"/>
    <w:rsid w:val="006416AF"/>
    <w:rsid w:val="00645AD0"/>
    <w:rsid w:val="00654B2A"/>
    <w:rsid w:val="00656C73"/>
    <w:rsid w:val="00657358"/>
    <w:rsid w:val="00657D2E"/>
    <w:rsid w:val="00667F9C"/>
    <w:rsid w:val="00681DC8"/>
    <w:rsid w:val="00690E70"/>
    <w:rsid w:val="006A0D96"/>
    <w:rsid w:val="006C0A4A"/>
    <w:rsid w:val="006D13A0"/>
    <w:rsid w:val="006D176A"/>
    <w:rsid w:val="006D195E"/>
    <w:rsid w:val="006D22A4"/>
    <w:rsid w:val="006D6799"/>
    <w:rsid w:val="006E0511"/>
    <w:rsid w:val="006E60DF"/>
    <w:rsid w:val="0070562B"/>
    <w:rsid w:val="00721F71"/>
    <w:rsid w:val="0073360C"/>
    <w:rsid w:val="00736B38"/>
    <w:rsid w:val="00742C85"/>
    <w:rsid w:val="00752249"/>
    <w:rsid w:val="00754539"/>
    <w:rsid w:val="00754FD0"/>
    <w:rsid w:val="0077361B"/>
    <w:rsid w:val="0078467D"/>
    <w:rsid w:val="007848D3"/>
    <w:rsid w:val="0079199D"/>
    <w:rsid w:val="0079305F"/>
    <w:rsid w:val="007B6D3B"/>
    <w:rsid w:val="007C3727"/>
    <w:rsid w:val="007C40CE"/>
    <w:rsid w:val="007E0B53"/>
    <w:rsid w:val="00800766"/>
    <w:rsid w:val="0080131C"/>
    <w:rsid w:val="00805843"/>
    <w:rsid w:val="00805CC5"/>
    <w:rsid w:val="0080655E"/>
    <w:rsid w:val="00813045"/>
    <w:rsid w:val="008130DA"/>
    <w:rsid w:val="00815481"/>
    <w:rsid w:val="00817377"/>
    <w:rsid w:val="00831E2B"/>
    <w:rsid w:val="00853C6E"/>
    <w:rsid w:val="00857CA5"/>
    <w:rsid w:val="00886BD5"/>
    <w:rsid w:val="008922D3"/>
    <w:rsid w:val="0089320B"/>
    <w:rsid w:val="00896C6F"/>
    <w:rsid w:val="008A6E66"/>
    <w:rsid w:val="008B059D"/>
    <w:rsid w:val="008C1EA3"/>
    <w:rsid w:val="008C6F6A"/>
    <w:rsid w:val="008D51A0"/>
    <w:rsid w:val="008E494E"/>
    <w:rsid w:val="008F15EA"/>
    <w:rsid w:val="00913F14"/>
    <w:rsid w:val="0091767C"/>
    <w:rsid w:val="0092306F"/>
    <w:rsid w:val="009407A1"/>
    <w:rsid w:val="00945145"/>
    <w:rsid w:val="00945C7F"/>
    <w:rsid w:val="00946D4A"/>
    <w:rsid w:val="00950D76"/>
    <w:rsid w:val="00956B75"/>
    <w:rsid w:val="00960659"/>
    <w:rsid w:val="00963F94"/>
    <w:rsid w:val="00965378"/>
    <w:rsid w:val="00966533"/>
    <w:rsid w:val="00973EEB"/>
    <w:rsid w:val="00977AE7"/>
    <w:rsid w:val="00986E1D"/>
    <w:rsid w:val="009A3885"/>
    <w:rsid w:val="009A6291"/>
    <w:rsid w:val="009A6579"/>
    <w:rsid w:val="009B6FCA"/>
    <w:rsid w:val="009C6EA8"/>
    <w:rsid w:val="009D2241"/>
    <w:rsid w:val="009D4F89"/>
    <w:rsid w:val="009E4BB1"/>
    <w:rsid w:val="009F21C4"/>
    <w:rsid w:val="00A017CA"/>
    <w:rsid w:val="00A139C9"/>
    <w:rsid w:val="00A2539A"/>
    <w:rsid w:val="00A25A48"/>
    <w:rsid w:val="00A35390"/>
    <w:rsid w:val="00A37F31"/>
    <w:rsid w:val="00A42571"/>
    <w:rsid w:val="00A60995"/>
    <w:rsid w:val="00A648D1"/>
    <w:rsid w:val="00A66F2A"/>
    <w:rsid w:val="00A761D3"/>
    <w:rsid w:val="00A92D0C"/>
    <w:rsid w:val="00A96CA0"/>
    <w:rsid w:val="00AA16AC"/>
    <w:rsid w:val="00AB0545"/>
    <w:rsid w:val="00AB1D2A"/>
    <w:rsid w:val="00AB30DB"/>
    <w:rsid w:val="00AC3065"/>
    <w:rsid w:val="00AD642D"/>
    <w:rsid w:val="00AE1A13"/>
    <w:rsid w:val="00AE3BB8"/>
    <w:rsid w:val="00AE3EB4"/>
    <w:rsid w:val="00AE6343"/>
    <w:rsid w:val="00AF6456"/>
    <w:rsid w:val="00B01F83"/>
    <w:rsid w:val="00B062F3"/>
    <w:rsid w:val="00B31A16"/>
    <w:rsid w:val="00B330BD"/>
    <w:rsid w:val="00B40DFC"/>
    <w:rsid w:val="00B704CC"/>
    <w:rsid w:val="00B92635"/>
    <w:rsid w:val="00BA6A26"/>
    <w:rsid w:val="00BA70FF"/>
    <w:rsid w:val="00BA71CB"/>
    <w:rsid w:val="00BB4423"/>
    <w:rsid w:val="00BB55D6"/>
    <w:rsid w:val="00BC1205"/>
    <w:rsid w:val="00BD6EF6"/>
    <w:rsid w:val="00BE0E5A"/>
    <w:rsid w:val="00BF05EC"/>
    <w:rsid w:val="00BF155E"/>
    <w:rsid w:val="00BF7895"/>
    <w:rsid w:val="00C0002D"/>
    <w:rsid w:val="00C066D8"/>
    <w:rsid w:val="00C10518"/>
    <w:rsid w:val="00C105B5"/>
    <w:rsid w:val="00C16329"/>
    <w:rsid w:val="00C20959"/>
    <w:rsid w:val="00C22763"/>
    <w:rsid w:val="00C334B0"/>
    <w:rsid w:val="00C34FFF"/>
    <w:rsid w:val="00C41C9C"/>
    <w:rsid w:val="00C5567F"/>
    <w:rsid w:val="00C60C7C"/>
    <w:rsid w:val="00C63D82"/>
    <w:rsid w:val="00C73AAD"/>
    <w:rsid w:val="00C746BD"/>
    <w:rsid w:val="00C76AED"/>
    <w:rsid w:val="00C919A0"/>
    <w:rsid w:val="00CC1EAA"/>
    <w:rsid w:val="00CC316C"/>
    <w:rsid w:val="00CD08DE"/>
    <w:rsid w:val="00CD4658"/>
    <w:rsid w:val="00CF3506"/>
    <w:rsid w:val="00CF712E"/>
    <w:rsid w:val="00D0513E"/>
    <w:rsid w:val="00D061C3"/>
    <w:rsid w:val="00D126F1"/>
    <w:rsid w:val="00D128E8"/>
    <w:rsid w:val="00D15637"/>
    <w:rsid w:val="00D1723D"/>
    <w:rsid w:val="00D27B49"/>
    <w:rsid w:val="00D34058"/>
    <w:rsid w:val="00D432FD"/>
    <w:rsid w:val="00D71B10"/>
    <w:rsid w:val="00D729BF"/>
    <w:rsid w:val="00D7710D"/>
    <w:rsid w:val="00D83A25"/>
    <w:rsid w:val="00D9455C"/>
    <w:rsid w:val="00DA2234"/>
    <w:rsid w:val="00DA2DEC"/>
    <w:rsid w:val="00DB7C1E"/>
    <w:rsid w:val="00DC55EC"/>
    <w:rsid w:val="00DC6504"/>
    <w:rsid w:val="00DD184E"/>
    <w:rsid w:val="00DD2BDC"/>
    <w:rsid w:val="00DE4001"/>
    <w:rsid w:val="00DE4409"/>
    <w:rsid w:val="00DE478C"/>
    <w:rsid w:val="00DE613A"/>
    <w:rsid w:val="00DF411E"/>
    <w:rsid w:val="00E02A9E"/>
    <w:rsid w:val="00E22DD1"/>
    <w:rsid w:val="00E302C4"/>
    <w:rsid w:val="00E3381F"/>
    <w:rsid w:val="00E35D19"/>
    <w:rsid w:val="00E4060D"/>
    <w:rsid w:val="00E4062C"/>
    <w:rsid w:val="00E40C3D"/>
    <w:rsid w:val="00E44884"/>
    <w:rsid w:val="00E456F1"/>
    <w:rsid w:val="00E46188"/>
    <w:rsid w:val="00E54BEE"/>
    <w:rsid w:val="00E5715D"/>
    <w:rsid w:val="00E64AEC"/>
    <w:rsid w:val="00E72019"/>
    <w:rsid w:val="00E8432A"/>
    <w:rsid w:val="00EA2981"/>
    <w:rsid w:val="00EB2CA3"/>
    <w:rsid w:val="00EB49AC"/>
    <w:rsid w:val="00EC22D0"/>
    <w:rsid w:val="00EC23F2"/>
    <w:rsid w:val="00EC789A"/>
    <w:rsid w:val="00ED27FC"/>
    <w:rsid w:val="00F03600"/>
    <w:rsid w:val="00F07937"/>
    <w:rsid w:val="00F105E6"/>
    <w:rsid w:val="00F27208"/>
    <w:rsid w:val="00F34596"/>
    <w:rsid w:val="00F35E94"/>
    <w:rsid w:val="00F40BDC"/>
    <w:rsid w:val="00F4138C"/>
    <w:rsid w:val="00F41BD7"/>
    <w:rsid w:val="00F4702E"/>
    <w:rsid w:val="00F47C51"/>
    <w:rsid w:val="00F56E8C"/>
    <w:rsid w:val="00F677F0"/>
    <w:rsid w:val="00F67F9D"/>
    <w:rsid w:val="00F73353"/>
    <w:rsid w:val="00F80C68"/>
    <w:rsid w:val="00F90B4C"/>
    <w:rsid w:val="00F93942"/>
    <w:rsid w:val="00F95110"/>
    <w:rsid w:val="00FB5F93"/>
    <w:rsid w:val="00FC30D6"/>
    <w:rsid w:val="00FC47BB"/>
    <w:rsid w:val="00FC7E7D"/>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mike@gm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ownloads\MLS%20Stats\2020-12-31%20Housing%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mn-lt"/>
              </a:rPr>
              <a:t>2019 - 2020 Sales Comparison</a:t>
            </a:r>
          </a:p>
        </c:rich>
      </c:tx>
      <c:layout>
        <c:manualLayout>
          <c:xMode val="edge"/>
          <c:yMode val="edge"/>
          <c:x val="0.18911979260035583"/>
          <c:y val="3.66748166259168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67086614173227"/>
          <c:y val="0.16862808187126238"/>
          <c:w val="0.76832913385826773"/>
          <c:h val="0.63607735800551435"/>
        </c:manualLayout>
      </c:layout>
      <c:lineChart>
        <c:grouping val="standard"/>
        <c:varyColors val="0"/>
        <c:ser>
          <c:idx val="0"/>
          <c:order val="0"/>
          <c:tx>
            <c:strRef>
              <c:f>'Monthly Stats'!$I$22</c:f>
              <c:strCache>
                <c:ptCount val="1"/>
                <c:pt idx="0">
                  <c:v>Sold 19</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strRef>
              <c:f>'Monthly Stats'!$G$23:$G$34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Stats'!$I$23:$I$34</c:f>
              <c:numCache>
                <c:formatCode>General</c:formatCode>
                <c:ptCount val="12"/>
                <c:pt idx="0">
                  <c:v>1008</c:v>
                </c:pt>
                <c:pt idx="1">
                  <c:v>1039</c:v>
                </c:pt>
                <c:pt idx="2">
                  <c:v>1402</c:v>
                </c:pt>
                <c:pt idx="3">
                  <c:v>1757</c:v>
                </c:pt>
                <c:pt idx="4">
                  <c:v>2136</c:v>
                </c:pt>
                <c:pt idx="5">
                  <c:v>2232</c:v>
                </c:pt>
                <c:pt idx="6">
                  <c:v>2263</c:v>
                </c:pt>
                <c:pt idx="7">
                  <c:v>2224</c:v>
                </c:pt>
                <c:pt idx="8">
                  <c:v>1785</c:v>
                </c:pt>
                <c:pt idx="9">
                  <c:v>1835</c:v>
                </c:pt>
                <c:pt idx="10">
                  <c:v>1553</c:v>
                </c:pt>
                <c:pt idx="11">
                  <c:v>1449</c:v>
                </c:pt>
              </c:numCache>
            </c:numRef>
          </c:val>
          <c:smooth val="0"/>
          <c:extLst>
            <c:ext xmlns:c16="http://schemas.microsoft.com/office/drawing/2014/chart" uri="{C3380CC4-5D6E-409C-BE32-E72D297353CC}">
              <c16:uniqueId val="{00000000-2963-4BC1-9024-6DFDE378ECA8}"/>
            </c:ext>
          </c:extLst>
        </c:ser>
        <c:ser>
          <c:idx val="1"/>
          <c:order val="1"/>
          <c:tx>
            <c:strRef>
              <c:f>'Monthly Stats'!$J$22</c:f>
              <c:strCache>
                <c:ptCount val="1"/>
                <c:pt idx="0">
                  <c:v>Sold 20</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'Monthly Stats'!$G$23:$G$34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Stats'!$J$23:$J$34</c:f>
              <c:numCache>
                <c:formatCode>General</c:formatCode>
                <c:ptCount val="12"/>
                <c:pt idx="0">
                  <c:v>1092</c:v>
                </c:pt>
                <c:pt idx="1">
                  <c:v>1116</c:v>
                </c:pt>
                <c:pt idx="2">
                  <c:v>1581</c:v>
                </c:pt>
                <c:pt idx="3">
                  <c:v>1596</c:v>
                </c:pt>
                <c:pt idx="4">
                  <c:v>1598</c:v>
                </c:pt>
                <c:pt idx="5">
                  <c:v>1927</c:v>
                </c:pt>
                <c:pt idx="6">
                  <c:v>2334</c:v>
                </c:pt>
                <c:pt idx="7">
                  <c:v>2342</c:v>
                </c:pt>
                <c:pt idx="8">
                  <c:v>2289</c:v>
                </c:pt>
                <c:pt idx="9">
                  <c:v>2313</c:v>
                </c:pt>
                <c:pt idx="10">
                  <c:v>1927</c:v>
                </c:pt>
                <c:pt idx="11">
                  <c:v>1824</c:v>
                </c:pt>
              </c:numCache>
            </c:numRef>
          </c:val>
          <c:smooth val="0"/>
          <c:extLst>
            <c:ext xmlns:c16="http://schemas.microsoft.com/office/drawing/2014/chart" uri="{C3380CC4-5D6E-409C-BE32-E72D297353CC}">
              <c16:uniqueId val="{00000001-2963-4BC1-9024-6DFDE378ECA8}"/>
            </c:ext>
          </c:extLst>
        </c:ser>
        <c:dLbls>
          <c:showLegendKey val="0"/>
          <c:showVal val="0"/>
          <c:showCatName val="0"/>
          <c:showSerName val="0"/>
          <c:showPercent val="0"/>
          <c:showBubbleSize val="0"/>
        </c:dLbls>
        <c:marker val="1"/>
        <c:smooth val="0"/>
        <c:axId val="1256250144"/>
        <c:axId val="1254122864"/>
      </c:lineChart>
      <c:catAx>
        <c:axId val="12562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22864"/>
        <c:crosses val="autoZero"/>
        <c:auto val="1"/>
        <c:lblAlgn val="ctr"/>
        <c:lblOffset val="100"/>
        <c:noMultiLvlLbl val="0"/>
      </c:catAx>
      <c:valAx>
        <c:axId val="1254122864"/>
        <c:scaling>
          <c:orientation val="minMax"/>
          <c:max val="2500"/>
          <c:min val="7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625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Sold Units*</a:t>
            </a:r>
          </a:p>
        </c:rich>
      </c:tx>
      <c:layout>
        <c:manualLayout>
          <c:xMode val="edge"/>
          <c:yMode val="edge"/>
          <c:x val="0.4426740407449069"/>
          <c:y val="2.20450568678915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3225690538682668E-2"/>
          <c:y val="7.7962871828521435E-2"/>
          <c:w val="0.85368227880073488"/>
          <c:h val="0.76121172353455813"/>
        </c:manualLayout>
      </c:layout>
      <c:barChart>
        <c:barDir val="col"/>
        <c:grouping val="clustered"/>
        <c:varyColors val="0"/>
        <c:ser>
          <c:idx val="0"/>
          <c:order val="0"/>
          <c:spPr>
            <a:solidFill>
              <a:srgbClr val="5089BC"/>
            </a:solidFill>
            <a:ln>
              <a:noFill/>
            </a:ln>
            <a:effectLst/>
          </c:spPr>
          <c:invertIfNegative val="0"/>
          <c:dPt>
            <c:idx val="15"/>
            <c:invertIfNegative val="0"/>
            <c:bubble3D val="0"/>
            <c:spPr>
              <a:solidFill>
                <a:srgbClr val="5089BC"/>
              </a:solidFill>
              <a:ln>
                <a:noFill/>
              </a:ln>
              <a:effectLst/>
            </c:spPr>
            <c:extLst>
              <c:ext xmlns:c16="http://schemas.microsoft.com/office/drawing/2014/chart" uri="{C3380CC4-5D6E-409C-BE32-E72D297353CC}">
                <c16:uniqueId val="{00000001-2F66-4B5F-AD91-65B1EAB2222E}"/>
              </c:ext>
            </c:extLst>
          </c:dPt>
          <c:dPt>
            <c:idx val="16"/>
            <c:invertIfNegative val="0"/>
            <c:bubble3D val="0"/>
            <c:spPr>
              <a:solidFill>
                <a:srgbClr val="5089BC"/>
              </a:solidFill>
              <a:ln>
                <a:noFill/>
              </a:ln>
              <a:effectLst/>
            </c:spPr>
            <c:extLst>
              <c:ext xmlns:c16="http://schemas.microsoft.com/office/drawing/2014/chart" uri="{C3380CC4-5D6E-409C-BE32-E72D297353CC}">
                <c16:uniqueId val="{00000003-2F66-4B5F-AD91-65B1EAB2222E}"/>
              </c:ext>
            </c:extLst>
          </c:dPt>
          <c:dPt>
            <c:idx val="17"/>
            <c:invertIfNegative val="0"/>
            <c:bubble3D val="0"/>
            <c:spPr>
              <a:solidFill>
                <a:srgbClr val="5089BC"/>
              </a:solidFill>
              <a:ln>
                <a:noFill/>
              </a:ln>
              <a:effectLst/>
            </c:spPr>
            <c:extLst>
              <c:ext xmlns:c16="http://schemas.microsoft.com/office/drawing/2014/chart" uri="{C3380CC4-5D6E-409C-BE32-E72D297353CC}">
                <c16:uniqueId val="{00000005-2F66-4B5F-AD91-65B1EAB2222E}"/>
              </c:ext>
            </c:extLst>
          </c:dPt>
          <c:dPt>
            <c:idx val="18"/>
            <c:invertIfNegative val="0"/>
            <c:bubble3D val="0"/>
            <c:spPr>
              <a:solidFill>
                <a:srgbClr val="5089BC"/>
              </a:solidFill>
              <a:ln>
                <a:noFill/>
              </a:ln>
              <a:effectLst/>
            </c:spPr>
            <c:extLst>
              <c:ext xmlns:c16="http://schemas.microsoft.com/office/drawing/2014/chart" uri="{C3380CC4-5D6E-409C-BE32-E72D297353CC}">
                <c16:uniqueId val="{00000007-2F66-4B5F-AD91-65B1EAB2222E}"/>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Data'!$B$24:$V$24</c:f>
              <c:strCache>
                <c:ptCount val="21"/>
                <c:pt idx="0">
                  <c:v> 2000</c:v>
                </c:pt>
                <c:pt idx="1">
                  <c:v> 2001</c:v>
                </c:pt>
                <c:pt idx="2">
                  <c:v> 2002</c:v>
                </c:pt>
                <c:pt idx="3">
                  <c:v> 2003</c:v>
                </c:pt>
                <c:pt idx="4">
                  <c:v> 2004</c:v>
                </c:pt>
                <c:pt idx="5">
                  <c:v> 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'Monthly Stats Data'!$B$40:$V$40</c:f>
              <c:numCache>
                <c:formatCode>_(* #,##0_);_(* \(#,##0\);_(* "-"??_);_(@_)</c:formatCode>
                <c:ptCount val="21"/>
                <c:pt idx="0">
                  <c:v>16310</c:v>
                </c:pt>
                <c:pt idx="1">
                  <c:v>17321</c:v>
                </c:pt>
                <c:pt idx="2">
                  <c:v>18479</c:v>
                </c:pt>
                <c:pt idx="3">
                  <c:v>19358</c:v>
                </c:pt>
                <c:pt idx="4">
                  <c:v>20427</c:v>
                </c:pt>
                <c:pt idx="5">
                  <c:v>21642</c:v>
                </c:pt>
                <c:pt idx="6">
                  <c:v>20071</c:v>
                </c:pt>
                <c:pt idx="7">
                  <c:v>17231</c:v>
                </c:pt>
                <c:pt idx="8">
                  <c:v>14119</c:v>
                </c:pt>
                <c:pt idx="9">
                  <c:v>14854</c:v>
                </c:pt>
                <c:pt idx="10">
                  <c:v>12865</c:v>
                </c:pt>
                <c:pt idx="11">
                  <c:v>13278</c:v>
                </c:pt>
                <c:pt idx="12">
                  <c:v>16579</c:v>
                </c:pt>
                <c:pt idx="13">
                  <c:v>18203</c:v>
                </c:pt>
                <c:pt idx="14">
                  <c:v>17749</c:v>
                </c:pt>
                <c:pt idx="15">
                  <c:v>19611</c:v>
                </c:pt>
                <c:pt idx="16" formatCode="#,##0">
                  <c:v>21007</c:v>
                </c:pt>
                <c:pt idx="17" formatCode="#,##0">
                  <c:v>21357</c:v>
                </c:pt>
                <c:pt idx="18" formatCode="#,##0">
                  <c:v>21060</c:v>
                </c:pt>
                <c:pt idx="19" formatCode="#,##0">
                  <c:v>21133</c:v>
                </c:pt>
                <c:pt idx="20" formatCode="#,##0">
                  <c:v>22445</c:v>
                </c:pt>
              </c:numCache>
            </c:numRef>
          </c:val>
          <c:extLst>
            <c:ext xmlns:c16="http://schemas.microsoft.com/office/drawing/2014/chart" uri="{C3380CC4-5D6E-409C-BE32-E72D297353CC}">
              <c16:uniqueId val="{00000008-2F66-4B5F-AD91-65B1EAB2222E}"/>
            </c:ext>
          </c:extLst>
        </c:ser>
        <c:dLbls>
          <c:dLblPos val="inEnd"/>
          <c:showLegendKey val="0"/>
          <c:showVal val="1"/>
          <c:showCatName val="0"/>
          <c:showSerName val="0"/>
          <c:showPercent val="0"/>
          <c:showBubbleSize val="0"/>
        </c:dLbls>
        <c:gapWidth val="114"/>
        <c:overlap val="-61"/>
        <c:axId val="458228000"/>
        <c:axId val="458226040"/>
      </c:barChart>
      <c:catAx>
        <c:axId val="4582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6040"/>
        <c:crosses val="autoZero"/>
        <c:auto val="1"/>
        <c:lblAlgn val="ctr"/>
        <c:lblOffset val="100"/>
        <c:noMultiLvlLbl val="0"/>
      </c:catAx>
      <c:valAx>
        <c:axId val="458226040"/>
        <c:scaling>
          <c:orientation val="minMax"/>
          <c:max val="23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latin typeface="+mn-lt"/>
              </a:rPr>
              <a:t>4</a:t>
            </a:r>
            <a:r>
              <a:rPr lang="en-US" sz="1100" b="1" baseline="0">
                <a:solidFill>
                  <a:sysClr val="windowText" lastClr="000000"/>
                </a:solidFill>
                <a:latin typeface="+mn-lt"/>
              </a:rPr>
              <a:t> County Sale Price</a:t>
            </a:r>
            <a:endParaRPr lang="en-US" sz="11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188632670916137"/>
          <c:y val="0.15202127077865266"/>
          <c:w val="0.81266451266545536"/>
          <c:h val="0.67791272046104745"/>
        </c:manualLayout>
      </c:layout>
      <c:barChart>
        <c:barDir val="col"/>
        <c:grouping val="clustered"/>
        <c:varyColors val="0"/>
        <c:ser>
          <c:idx val="1"/>
          <c:order val="0"/>
          <c:tx>
            <c:strRef>
              <c:f>'4th QTR County Data'!$E$154</c:f>
              <c:strCache>
                <c:ptCount val="1"/>
                <c:pt idx="0">
                  <c:v>Avg Sale Price</c:v>
                </c:pt>
              </c:strCache>
            </c:strRef>
          </c:tx>
          <c:spPr>
            <a:solidFill>
              <a:srgbClr val="1F4E79"/>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'4th QTR County Data'!$B$170:$B$190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'4th QTR County Data'!$E$170:$E$190</c:f>
              <c:numCache>
                <c:formatCode>_("$"* #,##0_);_("$"* \(#,##0\);_("$"* "-"??_);_(@_)</c:formatCode>
                <c:ptCount val="21"/>
                <c:pt idx="0">
                  <c:v>181287.5</c:v>
                </c:pt>
                <c:pt idx="1">
                  <c:v>187931</c:v>
                </c:pt>
                <c:pt idx="2">
                  <c:v>205944.5</c:v>
                </c:pt>
                <c:pt idx="3">
                  <c:v>216532</c:v>
                </c:pt>
                <c:pt idx="4">
                  <c:v>237872.5</c:v>
                </c:pt>
                <c:pt idx="5">
                  <c:v>248510</c:v>
                </c:pt>
                <c:pt idx="6">
                  <c:v>257130.75</c:v>
                </c:pt>
                <c:pt idx="7">
                  <c:v>261279.75</c:v>
                </c:pt>
                <c:pt idx="8">
                  <c:v>246983.25</c:v>
                </c:pt>
                <c:pt idx="9">
                  <c:v>222295.25</c:v>
                </c:pt>
                <c:pt idx="10">
                  <c:v>226301.25</c:v>
                </c:pt>
                <c:pt idx="11">
                  <c:v>214727.25</c:v>
                </c:pt>
                <c:pt idx="12">
                  <c:v>211151.5</c:v>
                </c:pt>
                <c:pt idx="13">
                  <c:v>225668.25</c:v>
                </c:pt>
                <c:pt idx="14">
                  <c:v>230677.25</c:v>
                </c:pt>
                <c:pt idx="15">
                  <c:v>243028.75</c:v>
                </c:pt>
                <c:pt idx="16">
                  <c:v>252629.75</c:v>
                </c:pt>
                <c:pt idx="17">
                  <c:v>266303.5</c:v>
                </c:pt>
                <c:pt idx="18">
                  <c:v>283048</c:v>
                </c:pt>
                <c:pt idx="19">
                  <c:v>304537.25</c:v>
                </c:pt>
                <c:pt idx="20">
                  <c:v>325308.75</c:v>
                </c:pt>
              </c:numCache>
            </c:numRef>
          </c:val>
          <c:extLst>
            <c:ext xmlns:c16="http://schemas.microsoft.com/office/drawing/2014/chart" uri="{C3380CC4-5D6E-409C-BE32-E72D297353CC}">
              <c16:uniqueId val="{00000000-0C44-41CE-8DD1-2CA60347F6F7}"/>
            </c:ext>
          </c:extLst>
        </c:ser>
        <c:dLbls>
          <c:dLblPos val="inEnd"/>
          <c:showLegendKey val="0"/>
          <c:showVal val="1"/>
          <c:showCatName val="0"/>
          <c:showSerName val="0"/>
          <c:showPercent val="0"/>
          <c:showBubbleSize val="0"/>
        </c:dLbls>
        <c:gapWidth val="114"/>
        <c:overlap val="-61"/>
        <c:axId val="510562616"/>
        <c:axId val="510563008"/>
      </c:barChart>
      <c:catAx>
        <c:axId val="51056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563008"/>
        <c:crosses val="autoZero"/>
        <c:auto val="1"/>
        <c:lblAlgn val="ctr"/>
        <c:lblOffset val="100"/>
        <c:noMultiLvlLbl val="0"/>
      </c:catAx>
      <c:valAx>
        <c:axId val="5105630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562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baseline="0">
                <a:solidFill>
                  <a:sysClr val="windowText" lastClr="000000"/>
                </a:solidFill>
              </a:rPr>
              <a:t>7 County Sale Price</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188636609504889"/>
          <c:y val="0.16243803089282413"/>
          <c:w val="0.81266451266545536"/>
          <c:h val="0.67791272046104745"/>
        </c:manualLayout>
      </c:layout>
      <c:barChart>
        <c:barDir val="col"/>
        <c:grouping val="clustered"/>
        <c:varyColors val="0"/>
        <c:ser>
          <c:idx val="1"/>
          <c:order val="0"/>
          <c:tx>
            <c:strRef>
              <c:f>'4th QTR County Data'!$E$283</c:f>
              <c:strCache>
                <c:ptCount val="1"/>
                <c:pt idx="0">
                  <c:v>Avg Sale Price</c:v>
                </c:pt>
              </c:strCache>
            </c:strRef>
          </c:tx>
          <c:spPr>
            <a:solidFill>
              <a:schemeClr val="accent1">
                <a:lumMod val="40000"/>
                <a:lumOff val="60000"/>
              </a:schemeClr>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'4th QTR County Data'!$B$285:$B$305</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'4th QTR County Data'!$E$285:$E$305</c:f>
              <c:numCache>
                <c:formatCode>_("$"* #,##0_);_("$"* \(#,##0\);_("$"* "-"??_);_(@_)</c:formatCode>
                <c:ptCount val="21"/>
                <c:pt idx="0">
                  <c:v>165814.14285714287</c:v>
                </c:pt>
                <c:pt idx="1">
                  <c:v>174522.28571428571</c:v>
                </c:pt>
                <c:pt idx="2">
                  <c:v>188117.71428571429</c:v>
                </c:pt>
                <c:pt idx="3">
                  <c:v>198969.28571428571</c:v>
                </c:pt>
                <c:pt idx="4">
                  <c:v>219760.42857142858</c:v>
                </c:pt>
                <c:pt idx="5">
                  <c:v>234400.85714285713</c:v>
                </c:pt>
                <c:pt idx="6">
                  <c:v>243372.14285714287</c:v>
                </c:pt>
                <c:pt idx="7">
                  <c:v>247233.28571428571</c:v>
                </c:pt>
                <c:pt idx="8">
                  <c:v>233756</c:v>
                </c:pt>
                <c:pt idx="9">
                  <c:v>205254.71428571429</c:v>
                </c:pt>
                <c:pt idx="10">
                  <c:v>208391.28571428571</c:v>
                </c:pt>
                <c:pt idx="11">
                  <c:v>193233.57142857142</c:v>
                </c:pt>
                <c:pt idx="12">
                  <c:v>193409.42857142858</c:v>
                </c:pt>
                <c:pt idx="13">
                  <c:v>201986.42857142858</c:v>
                </c:pt>
                <c:pt idx="14">
                  <c:v>211524.85714285713</c:v>
                </c:pt>
                <c:pt idx="15">
                  <c:v>222549.14285714287</c:v>
                </c:pt>
                <c:pt idx="16">
                  <c:v>232299.71428571429</c:v>
                </c:pt>
                <c:pt idx="17">
                  <c:v>247381.14285714287</c:v>
                </c:pt>
                <c:pt idx="18">
                  <c:v>264087.28571428574</c:v>
                </c:pt>
                <c:pt idx="19">
                  <c:v>281515.14285714284</c:v>
                </c:pt>
                <c:pt idx="20">
                  <c:v>308494</c:v>
                </c:pt>
              </c:numCache>
            </c:numRef>
          </c:val>
          <c:extLst>
            <c:ext xmlns:c16="http://schemas.microsoft.com/office/drawing/2014/chart" uri="{C3380CC4-5D6E-409C-BE32-E72D297353CC}">
              <c16:uniqueId val="{00000000-645B-4C6E-A1E0-173C99B8A683}"/>
            </c:ext>
          </c:extLst>
        </c:ser>
        <c:dLbls>
          <c:dLblPos val="inEnd"/>
          <c:showLegendKey val="0"/>
          <c:showVal val="1"/>
          <c:showCatName val="0"/>
          <c:showSerName val="0"/>
          <c:showPercent val="0"/>
          <c:showBubbleSize val="0"/>
        </c:dLbls>
        <c:gapWidth val="114"/>
        <c:overlap val="-61"/>
        <c:axId val="510562616"/>
        <c:axId val="510563008"/>
      </c:barChart>
      <c:catAx>
        <c:axId val="51056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563008"/>
        <c:crosses val="autoZero"/>
        <c:auto val="1"/>
        <c:lblAlgn val="ctr"/>
        <c:lblOffset val="100"/>
        <c:noMultiLvlLbl val="0"/>
      </c:catAx>
      <c:valAx>
        <c:axId val="5105630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562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r>
              <a:rPr lang="en-US" sz="1100" b="1">
                <a:solidFill>
                  <a:sysClr val="windowText" lastClr="000000"/>
                </a:solidFill>
              </a:rPr>
              <a:t>Inventory</a:t>
            </a:r>
            <a:r>
              <a:rPr lang="en-US">
                <a:solidFill>
                  <a:sysClr val="windowText" lastClr="000000"/>
                </a:solidFill>
              </a:rPr>
              <a:t> </a:t>
            </a:r>
            <a:r>
              <a:rPr lang="en-US" sz="900">
                <a:solidFill>
                  <a:sysClr val="windowText" lastClr="000000"/>
                </a:solidFill>
              </a:rPr>
              <a:t>(units left</a:t>
            </a:r>
            <a:r>
              <a:rPr lang="en-US" sz="900" baseline="0">
                <a:solidFill>
                  <a:sysClr val="windowText" lastClr="000000"/>
                </a:solidFill>
              </a:rPr>
              <a:t> side)</a:t>
            </a:r>
            <a:endParaRPr lang="en-US" sz="900">
              <a:solidFill>
                <a:sysClr val="windowText" lastClr="000000"/>
              </a:solidFill>
            </a:endParaRPr>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1">
                <a:lumMod val="40000"/>
                <a:lumOff val="60000"/>
              </a:schemeClr>
            </a:solidFill>
            <a:ln>
              <a:noFill/>
            </a:ln>
            <a:effectLst/>
          </c:spPr>
          <c:cat>
            <c:strRef>
              <c:f>'Monthly Stats Data'!$B$137:$N$137</c:f>
              <c:strCache>
                <c:ptCount val="13"/>
                <c:pt idx="0">
                  <c:v>Dec</c:v>
                </c:pt>
                <c:pt idx="1">
                  <c:v>Jan</c:v>
                </c:pt>
                <c:pt idx="2">
                  <c:v>Feb</c:v>
                </c:pt>
                <c:pt idx="3">
                  <c:v>Mar</c:v>
                </c:pt>
                <c:pt idx="4">
                  <c:v>April</c:v>
                </c:pt>
                <c:pt idx="5">
                  <c:v>May</c:v>
                </c:pt>
                <c:pt idx="6">
                  <c:v>June</c:v>
                </c:pt>
                <c:pt idx="7">
                  <c:v>July</c:v>
                </c:pt>
                <c:pt idx="8">
                  <c:v>Aug</c:v>
                </c:pt>
                <c:pt idx="9">
                  <c:v>Sept</c:v>
                </c:pt>
                <c:pt idx="10">
                  <c:v>Oct</c:v>
                </c:pt>
                <c:pt idx="11">
                  <c:v>Nov</c:v>
                </c:pt>
                <c:pt idx="12">
                  <c:v>Dec</c:v>
                </c:pt>
              </c:strCache>
            </c:strRef>
          </c:cat>
          <c:val>
            <c:numRef>
              <c:f>'Monthly Stats Data'!$B$139:$N$139</c:f>
              <c:numCache>
                <c:formatCode>_(* #,##0_);_(* \(#,##0\);_(* "-"??_);_(@_)</c:formatCode>
                <c:ptCount val="13"/>
                <c:pt idx="0">
                  <c:v>3530</c:v>
                </c:pt>
                <c:pt idx="1">
                  <c:v>3116</c:v>
                </c:pt>
                <c:pt idx="2">
                  <c:v>2791</c:v>
                </c:pt>
                <c:pt idx="3">
                  <c:v>3188</c:v>
                </c:pt>
                <c:pt idx="4">
                  <c:v>2790</c:v>
                </c:pt>
                <c:pt idx="5">
                  <c:v>2815</c:v>
                </c:pt>
                <c:pt idx="6">
                  <c:v>2901</c:v>
                </c:pt>
                <c:pt idx="7">
                  <c:v>2761</c:v>
                </c:pt>
                <c:pt idx="8">
                  <c:v>2900</c:v>
                </c:pt>
                <c:pt idx="9">
                  <c:v>2837</c:v>
                </c:pt>
                <c:pt idx="10">
                  <c:v>3168</c:v>
                </c:pt>
                <c:pt idx="11">
                  <c:v>2633</c:v>
                </c:pt>
                <c:pt idx="12">
                  <c:v>2162</c:v>
                </c:pt>
              </c:numCache>
            </c:numRef>
          </c:val>
          <c:extLst>
            <c:ext xmlns:c16="http://schemas.microsoft.com/office/drawing/2014/chart" uri="{C3380CC4-5D6E-409C-BE32-E72D297353CC}">
              <c16:uniqueId val="{00000000-9C28-40EA-B97C-D9F5C331E301}"/>
            </c:ext>
          </c:extLst>
        </c:ser>
        <c:ser>
          <c:idx val="1"/>
          <c:order val="1"/>
          <c:tx>
            <c:strRef>
              <c:f>'Monthly Stats Data'!$A$140</c:f>
              <c:strCache>
                <c:ptCount val="1"/>
                <c:pt idx="0">
                  <c:v>Active With Offer</c:v>
                </c:pt>
              </c:strCache>
            </c:strRef>
          </c:tx>
          <c:spPr>
            <a:solidFill>
              <a:srgbClr val="1F4E79"/>
            </a:solidFill>
            <a:ln>
              <a:noFill/>
            </a:ln>
            <a:effectLst/>
          </c:spPr>
          <c:cat>
            <c:strRef>
              <c:f>'Monthly Stats Data'!$B$137:$N$137</c:f>
              <c:strCache>
                <c:ptCount val="13"/>
                <c:pt idx="0">
                  <c:v>Dec</c:v>
                </c:pt>
                <c:pt idx="1">
                  <c:v>Jan</c:v>
                </c:pt>
                <c:pt idx="2">
                  <c:v>Feb</c:v>
                </c:pt>
                <c:pt idx="3">
                  <c:v>Mar</c:v>
                </c:pt>
                <c:pt idx="4">
                  <c:v>April</c:v>
                </c:pt>
                <c:pt idx="5">
                  <c:v>May</c:v>
                </c:pt>
                <c:pt idx="6">
                  <c:v>June</c:v>
                </c:pt>
                <c:pt idx="7">
                  <c:v>July</c:v>
                </c:pt>
                <c:pt idx="8">
                  <c:v>Aug</c:v>
                </c:pt>
                <c:pt idx="9">
                  <c:v>Sept</c:v>
                </c:pt>
                <c:pt idx="10">
                  <c:v>Oct</c:v>
                </c:pt>
                <c:pt idx="11">
                  <c:v>Nov</c:v>
                </c:pt>
                <c:pt idx="12">
                  <c:v>Dec</c:v>
                </c:pt>
              </c:strCache>
            </c:strRef>
          </c:cat>
          <c:val>
            <c:numRef>
              <c:f>'Monthly Stats Data'!$B$140:$N$140</c:f>
              <c:numCache>
                <c:formatCode>_(* #,##0_);_(* \(#,##0\);_(* "-"??_);_(@_)</c:formatCode>
                <c:ptCount val="13"/>
                <c:pt idx="0">
                  <c:v>1266</c:v>
                </c:pt>
                <c:pt idx="1">
                  <c:v>1636</c:v>
                </c:pt>
                <c:pt idx="2">
                  <c:v>2067</c:v>
                </c:pt>
                <c:pt idx="3">
                  <c:v>2006</c:v>
                </c:pt>
                <c:pt idx="4">
                  <c:v>2099</c:v>
                </c:pt>
                <c:pt idx="5">
                  <c:v>2610</c:v>
                </c:pt>
                <c:pt idx="6">
                  <c:v>2860</c:v>
                </c:pt>
                <c:pt idx="7">
                  <c:v>2937</c:v>
                </c:pt>
                <c:pt idx="8">
                  <c:v>2958</c:v>
                </c:pt>
                <c:pt idx="9">
                  <c:v>2821</c:v>
                </c:pt>
                <c:pt idx="10">
                  <c:v>2388</c:v>
                </c:pt>
                <c:pt idx="11">
                  <c:v>1870</c:v>
                </c:pt>
                <c:pt idx="12">
                  <c:v>1468</c:v>
                </c:pt>
              </c:numCache>
            </c:numRef>
          </c:val>
          <c:extLst>
            <c:ext xmlns:c16="http://schemas.microsoft.com/office/drawing/2014/chart" uri="{C3380CC4-5D6E-409C-BE32-E72D297353CC}">
              <c16:uniqueId val="{00000001-9C28-40EA-B97C-D9F5C331E301}"/>
            </c:ext>
          </c:extLst>
        </c:ser>
        <c:dLbls>
          <c:showLegendKey val="0"/>
          <c:showVal val="0"/>
          <c:showCatName val="0"/>
          <c:showSerName val="0"/>
          <c:showPercent val="0"/>
          <c:showBubbleSize val="0"/>
        </c:dLbls>
        <c:axId val="205910536"/>
        <c:axId val="458226432"/>
      </c:areaChart>
      <c:lineChart>
        <c:grouping val="standard"/>
        <c:varyColors val="0"/>
        <c:ser>
          <c:idx val="2"/>
          <c:order val="2"/>
          <c:tx>
            <c:strRef>
              <c:f>'Monthly Stats Data'!$A$141</c:f>
              <c:strCache>
                <c:ptCount val="1"/>
                <c:pt idx="0">
                  <c:v>Mos of Inventory (right)</c:v>
                </c:pt>
              </c:strCache>
            </c:strRef>
          </c:tx>
          <c:spPr>
            <a:ln w="28575" cap="rnd">
              <a:solidFill>
                <a:srgbClr val="5089BC"/>
              </a:solidFill>
              <a:round/>
            </a:ln>
            <a:effectLst/>
          </c:spPr>
          <c:marker>
            <c:symbol val="none"/>
          </c:marker>
          <c:cat>
            <c:strRef>
              <c:f>'Monthly Stats Data'!$B$137:$N$137</c:f>
              <c:strCache>
                <c:ptCount val="13"/>
                <c:pt idx="0">
                  <c:v>Dec</c:v>
                </c:pt>
                <c:pt idx="1">
                  <c:v>Jan</c:v>
                </c:pt>
                <c:pt idx="2">
                  <c:v>Feb</c:v>
                </c:pt>
                <c:pt idx="3">
                  <c:v>Mar</c:v>
                </c:pt>
                <c:pt idx="4">
                  <c:v>April</c:v>
                </c:pt>
                <c:pt idx="5">
                  <c:v>May</c:v>
                </c:pt>
                <c:pt idx="6">
                  <c:v>June</c:v>
                </c:pt>
                <c:pt idx="7">
                  <c:v>July</c:v>
                </c:pt>
                <c:pt idx="8">
                  <c:v>Aug</c:v>
                </c:pt>
                <c:pt idx="9">
                  <c:v>Sept</c:v>
                </c:pt>
                <c:pt idx="10">
                  <c:v>Oct</c:v>
                </c:pt>
                <c:pt idx="11">
                  <c:v>Nov</c:v>
                </c:pt>
                <c:pt idx="12">
                  <c:v>Dec</c:v>
                </c:pt>
              </c:strCache>
            </c:strRef>
          </c:cat>
          <c:val>
            <c:numRef>
              <c:f>'Monthly Stats Data'!$B$141:$N$141</c:f>
              <c:numCache>
                <c:formatCode>0.0</c:formatCode>
                <c:ptCount val="13"/>
                <c:pt idx="0">
                  <c:v>1.5</c:v>
                </c:pt>
                <c:pt idx="1">
                  <c:v>1.4</c:v>
                </c:pt>
                <c:pt idx="2">
                  <c:v>1.3</c:v>
                </c:pt>
                <c:pt idx="3">
                  <c:v>1.5</c:v>
                </c:pt>
                <c:pt idx="4">
                  <c:v>1.4</c:v>
                </c:pt>
                <c:pt idx="5">
                  <c:v>1.3</c:v>
                </c:pt>
                <c:pt idx="6">
                  <c:v>1.3</c:v>
                </c:pt>
                <c:pt idx="7">
                  <c:v>1.3</c:v>
                </c:pt>
                <c:pt idx="8">
                  <c:v>1.3</c:v>
                </c:pt>
                <c:pt idx="9">
                  <c:v>1.4</c:v>
                </c:pt>
                <c:pt idx="10">
                  <c:v>1.3</c:v>
                </c:pt>
                <c:pt idx="11">
                  <c:v>1.1000000000000001</c:v>
                </c:pt>
                <c:pt idx="12">
                  <c:v>0.8</c:v>
                </c:pt>
              </c:numCache>
            </c:numRef>
          </c:val>
          <c:smooth val="0"/>
          <c:extLst>
            <c:ext xmlns:c16="http://schemas.microsoft.com/office/drawing/2014/chart" uri="{C3380CC4-5D6E-409C-BE32-E72D297353CC}">
              <c16:uniqueId val="{00000002-9C28-40EA-B97C-D9F5C331E301}"/>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rgbClr val="1F4E7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 Data'!$Q$130:$Q$141</c:f>
              <c:numCache>
                <c:formatCode>_(* #,##0_);_(* \(#,##0\);_(* "-"??_);_(@_)</c:formatCode>
                <c:ptCount val="12"/>
                <c:pt idx="0">
                  <c:v>4752</c:v>
                </c:pt>
                <c:pt idx="1">
                  <c:v>4858</c:v>
                </c:pt>
                <c:pt idx="2">
                  <c:v>5194</c:v>
                </c:pt>
                <c:pt idx="3">
                  <c:v>4889</c:v>
                </c:pt>
                <c:pt idx="4">
                  <c:v>5425</c:v>
                </c:pt>
                <c:pt idx="5">
                  <c:v>5761</c:v>
                </c:pt>
                <c:pt idx="6">
                  <c:v>5698</c:v>
                </c:pt>
                <c:pt idx="7">
                  <c:v>5858</c:v>
                </c:pt>
                <c:pt idx="8">
                  <c:v>5658</c:v>
                </c:pt>
                <c:pt idx="9">
                  <c:v>5556</c:v>
                </c:pt>
                <c:pt idx="10">
                  <c:v>4503</c:v>
                </c:pt>
                <c:pt idx="11">
                  <c:v>3630</c:v>
                </c:pt>
              </c:numCache>
            </c:numRef>
          </c:val>
          <c:extLst>
            <c:ext xmlns:c16="http://schemas.microsoft.com/office/drawing/2014/chart" uri="{C3380CC4-5D6E-409C-BE32-E72D297353CC}">
              <c16:uniqueId val="{00000000-2443-4DF6-909B-A143508039D5}"/>
            </c:ext>
          </c:extLst>
        </c:ser>
        <c:ser>
          <c:idx val="3"/>
          <c:order val="1"/>
          <c:tx>
            <c:v>New Units Needed</c:v>
          </c:tx>
          <c:spPr>
            <a:solidFill>
              <a:srgbClr val="5089BC"/>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Data'!$P$130:$P$141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Stats Data'!$T$130:$T$141</c:f>
              <c:numCache>
                <c:formatCode>_(* #,##0_);_(* \(#,##0\);_(* "-"??_);_(@_)</c:formatCode>
                <c:ptCount val="12"/>
                <c:pt idx="0">
                  <c:v>5590</c:v>
                </c:pt>
                <c:pt idx="1">
                  <c:v>5525</c:v>
                </c:pt>
                <c:pt idx="2">
                  <c:v>5220</c:v>
                </c:pt>
                <c:pt idx="3">
                  <c:v>5620</c:v>
                </c:pt>
                <c:pt idx="4">
                  <c:v>5000</c:v>
                </c:pt>
                <c:pt idx="5">
                  <c:v>4400</c:v>
                </c:pt>
                <c:pt idx="6">
                  <c:v>4310</c:v>
                </c:pt>
                <c:pt idx="7">
                  <c:v>4180</c:v>
                </c:pt>
                <c:pt idx="8">
                  <c:v>4450</c:v>
                </c:pt>
                <c:pt idx="9">
                  <c:v>4800</c:v>
                </c:pt>
                <c:pt idx="10">
                  <c:v>6090</c:v>
                </c:pt>
                <c:pt idx="11">
                  <c:v>7150</c:v>
                </c:pt>
              </c:numCache>
            </c:numRef>
          </c:val>
          <c:extLst>
            <c:ext xmlns:c16="http://schemas.microsoft.com/office/drawing/2014/chart" uri="{C3380CC4-5D6E-409C-BE32-E72D297353CC}">
              <c16:uniqueId val="{00000001-2443-4DF6-909B-A143508039D5}"/>
            </c:ext>
          </c:extLst>
        </c:ser>
        <c:dLbls>
          <c:showLegendKey val="0"/>
          <c:showVal val="0"/>
          <c:showCatName val="0"/>
          <c:showSerName val="0"/>
          <c:showPercent val="0"/>
          <c:showBubbleSize val="0"/>
        </c:dLbls>
        <c:gapWidth val="150"/>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ax val="11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7</cp:revision>
  <cp:lastPrinted>2021-01-12T21:31:00Z</cp:lastPrinted>
  <dcterms:created xsi:type="dcterms:W3CDTF">2021-01-11T21:35:00Z</dcterms:created>
  <dcterms:modified xsi:type="dcterms:W3CDTF">2021-01-12T21:55:00Z</dcterms:modified>
</cp:coreProperties>
</file>