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FBFF" w14:textId="77777777" w:rsidR="00127EF0" w:rsidRPr="000A1E2F" w:rsidRDefault="001F5CBD" w:rsidP="001F5CBD">
      <w:pPr>
        <w:jc w:val="center"/>
        <w:rPr>
          <w:rFonts w:ascii="Arial" w:hAnsi="Arial" w:cs="Arial"/>
          <w:sz w:val="24"/>
          <w:szCs w:val="24"/>
        </w:rPr>
      </w:pPr>
      <w:bookmarkStart w:id="0" w:name="_MailOriginal"/>
      <w:r w:rsidRPr="000A1E2F">
        <w:rPr>
          <w:rFonts w:ascii="Arial" w:hAnsi="Arial" w:cs="Arial"/>
          <w:noProof/>
          <w:sz w:val="24"/>
          <w:szCs w:val="24"/>
        </w:rPr>
        <w:drawing>
          <wp:anchor distT="0" distB="0" distL="114300" distR="114300" simplePos="0" relativeHeight="251667456" behindDoc="0" locked="0" layoutInCell="1" allowOverlap="1" wp14:anchorId="51D589CA" wp14:editId="0813EEDE">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8">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sidRPr="000A1E2F">
        <w:rPr>
          <w:rFonts w:ascii="Arial" w:hAnsi="Arial" w:cs="Arial"/>
          <w:noProof/>
          <w:sz w:val="24"/>
          <w:szCs w:val="24"/>
        </w:rPr>
        <mc:AlternateContent>
          <mc:Choice Requires="wps">
            <w:drawing>
              <wp:anchor distT="0" distB="0" distL="114300" distR="114300" simplePos="0" relativeHeight="251666432" behindDoc="0" locked="0" layoutInCell="1" allowOverlap="1" wp14:anchorId="7FBF5E03" wp14:editId="6B868F19">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789AC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sidRPr="000A1E2F">
        <w:rPr>
          <w:rFonts w:ascii="Arial" w:hAnsi="Arial" w:cs="Arial"/>
          <w:noProof/>
          <w:sz w:val="24"/>
          <w:szCs w:val="24"/>
        </w:rPr>
        <mc:AlternateContent>
          <mc:Choice Requires="wps">
            <w:drawing>
              <wp:anchor distT="0" distB="0" distL="114300" distR="114300" simplePos="0" relativeHeight="251665408" behindDoc="0" locked="0" layoutInCell="1" allowOverlap="1" wp14:anchorId="242CB595" wp14:editId="623EE693">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086B75" w:rsidRPr="00A66F2A" w:rsidRDefault="00086B75" w:rsidP="001F5CBD">
                            <w:pPr>
                              <w:ind w:right="480" w:firstLine="720"/>
                              <w:rPr>
                                <w:b/>
                                <w:sz w:val="26"/>
                                <w:szCs w:val="26"/>
                              </w:rPr>
                            </w:pPr>
                            <w:r w:rsidRPr="00A66F2A">
                              <w:rPr>
                                <w:b/>
                                <w:sz w:val="26"/>
                                <w:szCs w:val="26"/>
                              </w:rPr>
                              <w:t>For Immediate Release</w:t>
                            </w:r>
                          </w:p>
                          <w:p w14:paraId="5C7CF5D6" w14:textId="77777777" w:rsidR="00086B75" w:rsidRPr="00A66F2A" w:rsidRDefault="00086B75" w:rsidP="001F5CBD">
                            <w:pPr>
                              <w:ind w:right="480" w:firstLine="720"/>
                              <w:rPr>
                                <w:sz w:val="26"/>
                                <w:szCs w:val="26"/>
                              </w:rPr>
                            </w:pPr>
                            <w:r w:rsidRPr="00A66F2A">
                              <w:rPr>
                                <w:sz w:val="26"/>
                                <w:szCs w:val="26"/>
                              </w:rPr>
                              <w:t>Contact:  Mike Ruzicka</w:t>
                            </w:r>
                          </w:p>
                          <w:p w14:paraId="40F00B14" w14:textId="77777777" w:rsidR="00086B75" w:rsidRPr="00A66F2A" w:rsidRDefault="00086B75" w:rsidP="001F5CBD">
                            <w:pPr>
                              <w:ind w:right="480" w:firstLine="720"/>
                              <w:rPr>
                                <w:sz w:val="26"/>
                                <w:szCs w:val="26"/>
                              </w:rPr>
                            </w:pPr>
                            <w:r w:rsidRPr="00A66F2A">
                              <w:rPr>
                                <w:sz w:val="26"/>
                                <w:szCs w:val="26"/>
                              </w:rPr>
                              <w:t>414.778.4929 or 414.870.1876</w:t>
                            </w:r>
                          </w:p>
                          <w:p w14:paraId="53E5CD2A" w14:textId="09B004E0" w:rsidR="00086B75" w:rsidRPr="001F5CBD" w:rsidRDefault="004A0A6D" w:rsidP="001F5CBD">
                            <w:pPr>
                              <w:ind w:firstLine="720"/>
                              <w:rPr>
                                <w:color w:val="FFFFFF" w:themeColor="background1"/>
                              </w:rPr>
                            </w:pPr>
                            <w:hyperlink r:id="rId9" w:history="1">
                              <w:r w:rsidR="00086B75" w:rsidRPr="003B327A">
                                <w:rPr>
                                  <w:rStyle w:val="Hyperlink"/>
                                  <w:color w:val="FFFFFF" w:themeColor="background1"/>
                                  <w:sz w:val="26"/>
                                  <w:szCs w:val="26"/>
                                </w:rPr>
                                <w:t>mike@gmar.</w:t>
                              </w:r>
                            </w:hyperlink>
                            <w:r w:rsidR="00086B75">
                              <w:rPr>
                                <w:rStyle w:val="Hyperlink"/>
                                <w:color w:val="FFFFFF" w:themeColor="background1"/>
                                <w:sz w:val="26"/>
                                <w:szCs w:val="26"/>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CB59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" adj="17065" fillcolor="#1f4d78 [1604]" strokecolor="#1f4d78 [1604]" strokeweight="1pt">
                <v:textbox>
                  <w:txbxContent>
                    <w:p w14:paraId="111E8FBD" w14:textId="77777777" w:rsidR="00086B75" w:rsidRPr="00A66F2A" w:rsidRDefault="00086B75" w:rsidP="001F5CBD">
                      <w:pPr>
                        <w:ind w:right="480" w:firstLine="720"/>
                        <w:rPr>
                          <w:b/>
                          <w:sz w:val="26"/>
                          <w:szCs w:val="26"/>
                        </w:rPr>
                      </w:pPr>
                      <w:r w:rsidRPr="00A66F2A">
                        <w:rPr>
                          <w:b/>
                          <w:sz w:val="26"/>
                          <w:szCs w:val="26"/>
                        </w:rPr>
                        <w:t>For Immediate Release</w:t>
                      </w:r>
                    </w:p>
                    <w:p w14:paraId="5C7CF5D6" w14:textId="77777777" w:rsidR="00086B75" w:rsidRPr="00A66F2A" w:rsidRDefault="00086B75" w:rsidP="001F5CBD">
                      <w:pPr>
                        <w:ind w:right="480" w:firstLine="720"/>
                        <w:rPr>
                          <w:sz w:val="26"/>
                          <w:szCs w:val="26"/>
                        </w:rPr>
                      </w:pPr>
                      <w:r w:rsidRPr="00A66F2A">
                        <w:rPr>
                          <w:sz w:val="26"/>
                          <w:szCs w:val="26"/>
                        </w:rPr>
                        <w:t>Contact:  Mike Ruzicka</w:t>
                      </w:r>
                    </w:p>
                    <w:p w14:paraId="40F00B14" w14:textId="77777777" w:rsidR="00086B75" w:rsidRPr="00A66F2A" w:rsidRDefault="00086B75" w:rsidP="001F5CBD">
                      <w:pPr>
                        <w:ind w:right="480" w:firstLine="720"/>
                        <w:rPr>
                          <w:sz w:val="26"/>
                          <w:szCs w:val="26"/>
                        </w:rPr>
                      </w:pPr>
                      <w:r w:rsidRPr="00A66F2A">
                        <w:rPr>
                          <w:sz w:val="26"/>
                          <w:szCs w:val="26"/>
                        </w:rPr>
                        <w:t>414.778.4929 or 414.870.1876</w:t>
                      </w:r>
                    </w:p>
                    <w:p w14:paraId="53E5CD2A" w14:textId="09B004E0" w:rsidR="00086B75" w:rsidRPr="001F5CBD" w:rsidRDefault="004A0A6D" w:rsidP="001F5CBD">
                      <w:pPr>
                        <w:ind w:firstLine="720"/>
                        <w:rPr>
                          <w:color w:val="FFFFFF" w:themeColor="background1"/>
                        </w:rPr>
                      </w:pPr>
                      <w:hyperlink r:id="rId10" w:history="1">
                        <w:r w:rsidR="00086B75" w:rsidRPr="003B327A">
                          <w:rPr>
                            <w:rStyle w:val="Hyperlink"/>
                            <w:color w:val="FFFFFF" w:themeColor="background1"/>
                            <w:sz w:val="26"/>
                            <w:szCs w:val="26"/>
                          </w:rPr>
                          <w:t>mike@gmar.</w:t>
                        </w:r>
                      </w:hyperlink>
                      <w:r w:rsidR="00086B75">
                        <w:rPr>
                          <w:rStyle w:val="Hyperlink"/>
                          <w:color w:val="FFFFFF" w:themeColor="background1"/>
                          <w:sz w:val="26"/>
                          <w:szCs w:val="26"/>
                        </w:rPr>
                        <w:t>com</w:t>
                      </w:r>
                    </w:p>
                  </w:txbxContent>
                </v:textbox>
              </v:shape>
            </w:pict>
          </mc:Fallback>
        </mc:AlternateContent>
      </w:r>
      <w:r w:rsidR="00127EF0" w:rsidRPr="000A1E2F">
        <w:rPr>
          <w:rFonts w:ascii="Arial" w:hAnsi="Arial" w:cs="Arial"/>
          <w:sz w:val="24"/>
          <w:szCs w:val="24"/>
        </w:rPr>
        <w:t xml:space="preserve"> </w:t>
      </w:r>
    </w:p>
    <w:p w14:paraId="33E945B2" w14:textId="38582120" w:rsidR="00127EF0" w:rsidRPr="000A1E2F" w:rsidRDefault="00127EF0" w:rsidP="00127EF0">
      <w:pPr>
        <w:rPr>
          <w:rFonts w:ascii="Arial" w:hAnsi="Arial" w:cs="Arial"/>
          <w:sz w:val="24"/>
          <w:szCs w:val="24"/>
        </w:rPr>
      </w:pPr>
    </w:p>
    <w:p w14:paraId="17239243" w14:textId="142ECE24" w:rsidR="00127EF0" w:rsidRPr="000A1E2F" w:rsidRDefault="00127EF0" w:rsidP="00127EF0">
      <w:pPr>
        <w:rPr>
          <w:rFonts w:ascii="Arial" w:hAnsi="Arial" w:cs="Arial"/>
          <w:sz w:val="24"/>
          <w:szCs w:val="24"/>
        </w:rPr>
      </w:pPr>
    </w:p>
    <w:p w14:paraId="4AAECA96" w14:textId="58D207FE" w:rsidR="00127EF0" w:rsidRPr="000A1E2F" w:rsidRDefault="00127EF0" w:rsidP="00127EF0">
      <w:pPr>
        <w:jc w:val="center"/>
        <w:rPr>
          <w:rFonts w:ascii="Arial" w:eastAsia="Times New Roman" w:hAnsi="Arial" w:cs="Arial"/>
          <w:b/>
          <w:bCs/>
          <w:sz w:val="24"/>
          <w:szCs w:val="24"/>
        </w:rPr>
      </w:pPr>
    </w:p>
    <w:p w14:paraId="2E9EC9D0" w14:textId="56564CD4" w:rsidR="001F5CBD" w:rsidRPr="000A1E2F" w:rsidRDefault="001F5CBD" w:rsidP="00127EF0">
      <w:pPr>
        <w:spacing w:before="120" w:after="120"/>
        <w:ind w:left="-360" w:right="-360"/>
        <w:contextualSpacing/>
        <w:jc w:val="center"/>
        <w:rPr>
          <w:rFonts w:ascii="Arial" w:hAnsi="Arial" w:cs="Arial"/>
          <w:b/>
          <w:bCs/>
          <w:sz w:val="56"/>
          <w:szCs w:val="56"/>
        </w:rPr>
      </w:pPr>
    </w:p>
    <w:p w14:paraId="1CB10AEE" w14:textId="7778E465" w:rsidR="001F5CBD" w:rsidRPr="000A1E2F" w:rsidRDefault="001F5CBD" w:rsidP="001F5CBD">
      <w:pPr>
        <w:spacing w:before="120" w:after="120"/>
        <w:ind w:left="-360" w:right="-360"/>
        <w:contextualSpacing/>
        <w:jc w:val="center"/>
        <w:rPr>
          <w:rFonts w:ascii="Arial" w:hAnsi="Arial" w:cs="Arial"/>
          <w:b/>
          <w:bCs/>
          <w:sz w:val="56"/>
          <w:szCs w:val="56"/>
        </w:rPr>
      </w:pPr>
    </w:p>
    <w:p w14:paraId="3267D06C" w14:textId="476A6FB8" w:rsidR="00E5715D" w:rsidRPr="000A1E2F" w:rsidRDefault="00757A0D" w:rsidP="00E5715D">
      <w:pPr>
        <w:spacing w:before="120" w:after="120"/>
        <w:ind w:left="-360" w:right="-360"/>
        <w:contextualSpacing/>
        <w:jc w:val="center"/>
        <w:rPr>
          <w:rFonts w:ascii="Arial" w:hAnsi="Arial" w:cs="Arial"/>
          <w:b/>
          <w:bCs/>
          <w:sz w:val="48"/>
          <w:szCs w:val="48"/>
        </w:rPr>
      </w:pPr>
      <w:r>
        <w:rPr>
          <w:rFonts w:ascii="Arial" w:hAnsi="Arial" w:cs="Arial"/>
          <w:b/>
          <w:bCs/>
          <w:sz w:val="48"/>
          <w:szCs w:val="48"/>
        </w:rPr>
        <w:t xml:space="preserve">Another Historical </w:t>
      </w:r>
      <w:r w:rsidR="00E5715D" w:rsidRPr="000A1E2F">
        <w:rPr>
          <w:rFonts w:ascii="Arial" w:hAnsi="Arial" w:cs="Arial"/>
          <w:b/>
          <w:bCs/>
          <w:sz w:val="48"/>
          <w:szCs w:val="48"/>
        </w:rPr>
        <w:t xml:space="preserve">Sales </w:t>
      </w:r>
      <w:r>
        <w:rPr>
          <w:rFonts w:ascii="Arial" w:hAnsi="Arial" w:cs="Arial"/>
          <w:b/>
          <w:bCs/>
          <w:sz w:val="48"/>
          <w:szCs w:val="48"/>
        </w:rPr>
        <w:t>Year in 2021</w:t>
      </w:r>
    </w:p>
    <w:p w14:paraId="4EFD022F" w14:textId="51796466" w:rsidR="00127EF0" w:rsidRPr="000A1E2F" w:rsidRDefault="00EB5F66" w:rsidP="00E5715D">
      <w:pPr>
        <w:spacing w:before="120" w:after="120"/>
        <w:ind w:left="-360" w:right="-360"/>
        <w:contextualSpacing/>
        <w:jc w:val="center"/>
        <w:rPr>
          <w:rFonts w:ascii="Arial" w:hAnsi="Arial" w:cs="Arial"/>
          <w:b/>
          <w:bCs/>
          <w:sz w:val="48"/>
          <w:szCs w:val="48"/>
        </w:rPr>
      </w:pPr>
      <w:r>
        <w:rPr>
          <w:rFonts w:ascii="Arial" w:hAnsi="Arial" w:cs="Arial"/>
          <w:b/>
          <w:bCs/>
          <w:sz w:val="48"/>
          <w:szCs w:val="48"/>
        </w:rPr>
        <w:t>Dec</w:t>
      </w:r>
      <w:r w:rsidR="0055148B" w:rsidRPr="000A1E2F">
        <w:rPr>
          <w:rFonts w:ascii="Arial" w:hAnsi="Arial" w:cs="Arial"/>
          <w:b/>
          <w:bCs/>
          <w:sz w:val="48"/>
          <w:szCs w:val="48"/>
        </w:rPr>
        <w:t>ember</w:t>
      </w:r>
      <w:r w:rsidR="00681DC8" w:rsidRPr="000A1E2F">
        <w:rPr>
          <w:rFonts w:ascii="Arial" w:hAnsi="Arial" w:cs="Arial"/>
          <w:b/>
          <w:bCs/>
          <w:sz w:val="48"/>
          <w:szCs w:val="48"/>
        </w:rPr>
        <w:t xml:space="preserve"> Sales </w:t>
      </w:r>
      <w:r w:rsidR="00FD6F12">
        <w:rPr>
          <w:rFonts w:ascii="Arial" w:hAnsi="Arial" w:cs="Arial"/>
          <w:b/>
          <w:bCs/>
          <w:sz w:val="48"/>
          <w:szCs w:val="48"/>
        </w:rPr>
        <w:t>Up</w:t>
      </w:r>
      <w:r w:rsidR="00681DC8" w:rsidRPr="000A1E2F">
        <w:rPr>
          <w:rFonts w:ascii="Arial" w:hAnsi="Arial" w:cs="Arial"/>
          <w:b/>
          <w:bCs/>
          <w:sz w:val="48"/>
          <w:szCs w:val="48"/>
        </w:rPr>
        <w:t xml:space="preserve"> </w:t>
      </w:r>
      <w:r w:rsidR="00FD6F12">
        <w:rPr>
          <w:rFonts w:ascii="Arial" w:hAnsi="Arial" w:cs="Arial"/>
          <w:b/>
          <w:bCs/>
          <w:sz w:val="48"/>
          <w:szCs w:val="48"/>
        </w:rPr>
        <w:t>7</w:t>
      </w:r>
      <w:r w:rsidR="009A6291" w:rsidRPr="000A1E2F">
        <w:rPr>
          <w:rFonts w:ascii="Arial" w:hAnsi="Arial" w:cs="Arial"/>
          <w:b/>
          <w:bCs/>
          <w:sz w:val="48"/>
          <w:szCs w:val="48"/>
        </w:rPr>
        <w:t>.</w:t>
      </w:r>
      <w:r w:rsidR="00FD6F12">
        <w:rPr>
          <w:rFonts w:ascii="Arial" w:hAnsi="Arial" w:cs="Arial"/>
          <w:b/>
          <w:bCs/>
          <w:sz w:val="48"/>
          <w:szCs w:val="48"/>
        </w:rPr>
        <w:t>6</w:t>
      </w:r>
      <w:r w:rsidR="00681DC8" w:rsidRPr="000A1E2F">
        <w:rPr>
          <w:rFonts w:ascii="Arial" w:hAnsi="Arial" w:cs="Arial"/>
          <w:b/>
          <w:bCs/>
          <w:sz w:val="48"/>
          <w:szCs w:val="48"/>
        </w:rPr>
        <w:t>%</w:t>
      </w:r>
    </w:p>
    <w:p w14:paraId="33BE1908" w14:textId="4074191F" w:rsidR="00127EF0" w:rsidRPr="000A1E2F" w:rsidRDefault="00127EF0" w:rsidP="00E302C4">
      <w:pPr>
        <w:ind w:left="-360" w:right="-360"/>
        <w:jc w:val="center"/>
        <w:rPr>
          <w:rFonts w:ascii="Arial" w:eastAsia="Times New Roman" w:hAnsi="Arial" w:cs="Arial"/>
          <w:b/>
          <w:bCs/>
          <w:sz w:val="24"/>
          <w:szCs w:val="24"/>
        </w:rPr>
      </w:pPr>
    </w:p>
    <w:tbl>
      <w:tblPr>
        <w:tblStyle w:val="TableGrid"/>
        <w:tblpPr w:leftFromText="180" w:rightFromText="180" w:vertAnchor="text" w:horzAnchor="margin" w:tblpX="-360" w:tblpY="70"/>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760"/>
        <w:gridCol w:w="4315"/>
      </w:tblGrid>
      <w:tr w:rsidR="00E913B2" w:rsidRPr="000A1E2F" w14:paraId="24B40EB5" w14:textId="77777777" w:rsidTr="004F022E">
        <w:trPr>
          <w:trHeight w:val="360"/>
        </w:trPr>
        <w:tc>
          <w:tcPr>
            <w:tcW w:w="5760" w:type="dxa"/>
            <w:vAlign w:val="center"/>
          </w:tcPr>
          <w:p w14:paraId="1E501E17" w14:textId="68425F50" w:rsidR="00E913B2" w:rsidRPr="000A1E2F" w:rsidRDefault="00E913B2" w:rsidP="00E913B2">
            <w:pPr>
              <w:spacing w:before="120" w:after="120"/>
              <w:ind w:left="-115" w:right="-360"/>
              <w:contextualSpacing/>
              <w:rPr>
                <w:rFonts w:ascii="Arial" w:hAnsi="Arial" w:cs="Arial"/>
              </w:rPr>
            </w:pPr>
            <w:r w:rsidRPr="000A1E2F">
              <w:rPr>
                <w:rFonts w:ascii="Arial" w:hAnsi="Arial" w:cs="Arial"/>
                <w:b/>
                <w:bCs/>
              </w:rPr>
              <w:t>Highlights</w:t>
            </w:r>
          </w:p>
        </w:tc>
        <w:tc>
          <w:tcPr>
            <w:tcW w:w="4315" w:type="dxa"/>
            <w:vAlign w:val="center"/>
          </w:tcPr>
          <w:p w14:paraId="1ED3215F" w14:textId="60B02674" w:rsidR="00E913B2" w:rsidRPr="000A1E2F" w:rsidRDefault="00EB5F66" w:rsidP="00E913B2">
            <w:pPr>
              <w:spacing w:before="120" w:after="120"/>
              <w:ind w:left="-115" w:right="-29"/>
              <w:contextualSpacing/>
              <w:jc w:val="right"/>
              <w:rPr>
                <w:rFonts w:ascii="Arial" w:hAnsi="Arial" w:cs="Arial"/>
                <w:b/>
                <w:bCs/>
              </w:rPr>
            </w:pPr>
            <w:r>
              <w:rPr>
                <w:rFonts w:ascii="Arial" w:hAnsi="Arial" w:cs="Arial"/>
                <w:b/>
                <w:bCs/>
              </w:rPr>
              <w:t>January</w:t>
            </w:r>
            <w:r w:rsidR="00E913B2" w:rsidRPr="000A1E2F">
              <w:rPr>
                <w:rFonts w:ascii="Arial" w:hAnsi="Arial" w:cs="Arial"/>
                <w:b/>
                <w:bCs/>
              </w:rPr>
              <w:t xml:space="preserve"> 1</w:t>
            </w:r>
            <w:r w:rsidR="00DA4DBE">
              <w:rPr>
                <w:rFonts w:ascii="Arial" w:hAnsi="Arial" w:cs="Arial"/>
                <w:b/>
                <w:bCs/>
              </w:rPr>
              <w:t>2</w:t>
            </w:r>
            <w:r w:rsidR="00E913B2" w:rsidRPr="000A1E2F">
              <w:rPr>
                <w:rFonts w:ascii="Arial" w:hAnsi="Arial" w:cs="Arial"/>
                <w:b/>
                <w:bCs/>
              </w:rPr>
              <w:t>, 2021</w:t>
            </w:r>
          </w:p>
        </w:tc>
      </w:tr>
      <w:tr w:rsidR="00E302C4" w:rsidRPr="000A1E2F" w14:paraId="16998B52" w14:textId="77777777" w:rsidTr="009C003E">
        <w:trPr>
          <w:gridAfter w:val="1"/>
          <w:wAfter w:w="4315" w:type="dxa"/>
          <w:trHeight w:val="360"/>
        </w:trPr>
        <w:tc>
          <w:tcPr>
            <w:tcW w:w="5760" w:type="dxa"/>
            <w:shd w:val="clear" w:color="auto" w:fill="auto"/>
            <w:vAlign w:val="center"/>
          </w:tcPr>
          <w:p w14:paraId="2AA4FD63" w14:textId="11092F33" w:rsidR="00E302C4" w:rsidRPr="000A1E2F" w:rsidRDefault="00412F73" w:rsidP="00E913B2">
            <w:pPr>
              <w:pStyle w:val="ListParagraph"/>
              <w:numPr>
                <w:ilvl w:val="0"/>
                <w:numId w:val="3"/>
              </w:numPr>
              <w:ind w:left="245" w:right="-360" w:hanging="245"/>
              <w:rPr>
                <w:rFonts w:ascii="Arial" w:hAnsi="Arial" w:cs="Arial"/>
              </w:rPr>
            </w:pPr>
            <w:r>
              <w:rPr>
                <w:rFonts w:ascii="Arial" w:hAnsi="Arial" w:cs="Arial"/>
              </w:rPr>
              <w:t xml:space="preserve">2021 Saw the </w:t>
            </w:r>
            <w:r w:rsidR="000F0146">
              <w:rPr>
                <w:rFonts w:ascii="Arial" w:hAnsi="Arial" w:cs="Arial"/>
              </w:rPr>
              <w:t xml:space="preserve">Highest Number of Unit </w:t>
            </w:r>
            <w:r w:rsidR="00E913B2" w:rsidRPr="000A1E2F">
              <w:rPr>
                <w:rFonts w:ascii="Arial" w:hAnsi="Arial" w:cs="Arial"/>
              </w:rPr>
              <w:t xml:space="preserve">Sales </w:t>
            </w:r>
            <w:r w:rsidR="000F0146">
              <w:rPr>
                <w:rFonts w:ascii="Arial" w:hAnsi="Arial" w:cs="Arial"/>
              </w:rPr>
              <w:t xml:space="preserve">Ever! </w:t>
            </w:r>
          </w:p>
        </w:tc>
      </w:tr>
      <w:tr w:rsidR="00E302C4" w:rsidRPr="000A1E2F" w14:paraId="786D284B" w14:textId="77777777" w:rsidTr="009C003E">
        <w:trPr>
          <w:gridAfter w:val="1"/>
          <w:wAfter w:w="4315" w:type="dxa"/>
          <w:trHeight w:val="360"/>
        </w:trPr>
        <w:tc>
          <w:tcPr>
            <w:tcW w:w="5760" w:type="dxa"/>
            <w:shd w:val="clear" w:color="auto" w:fill="auto"/>
            <w:vAlign w:val="center"/>
          </w:tcPr>
          <w:p w14:paraId="1B827FCA" w14:textId="57DA4B84" w:rsidR="00E302C4" w:rsidRPr="000A1E2F" w:rsidRDefault="00284DBA" w:rsidP="00E913B2">
            <w:pPr>
              <w:pStyle w:val="ListParagraph"/>
              <w:numPr>
                <w:ilvl w:val="0"/>
                <w:numId w:val="3"/>
              </w:numPr>
              <w:ind w:left="245" w:right="-360" w:hanging="245"/>
              <w:rPr>
                <w:rFonts w:ascii="Arial" w:hAnsi="Arial" w:cs="Arial"/>
              </w:rPr>
            </w:pPr>
            <w:r>
              <w:rPr>
                <w:rFonts w:ascii="Arial" w:hAnsi="Arial" w:cs="Arial"/>
              </w:rPr>
              <w:t>Healthy</w:t>
            </w:r>
            <w:r w:rsidR="009C003E">
              <w:rPr>
                <w:rFonts w:ascii="Arial" w:hAnsi="Arial" w:cs="Arial"/>
              </w:rPr>
              <w:t xml:space="preserve"> Price </w:t>
            </w:r>
            <w:r w:rsidR="004F022E">
              <w:rPr>
                <w:rFonts w:ascii="Arial" w:hAnsi="Arial" w:cs="Arial"/>
              </w:rPr>
              <w:t>Appreciation</w:t>
            </w:r>
            <w:r w:rsidR="009C003E">
              <w:rPr>
                <w:rFonts w:ascii="Arial" w:hAnsi="Arial" w:cs="Arial"/>
              </w:rPr>
              <w:t xml:space="preserve"> Throughout the Region</w:t>
            </w:r>
          </w:p>
        </w:tc>
      </w:tr>
      <w:tr w:rsidR="00E302C4" w:rsidRPr="000A1E2F" w14:paraId="07DD8276" w14:textId="77777777" w:rsidTr="004F022E">
        <w:trPr>
          <w:gridAfter w:val="1"/>
          <w:wAfter w:w="4315" w:type="dxa"/>
          <w:trHeight w:val="360"/>
        </w:trPr>
        <w:tc>
          <w:tcPr>
            <w:tcW w:w="5760" w:type="dxa"/>
            <w:shd w:val="clear" w:color="auto" w:fill="auto"/>
            <w:vAlign w:val="center"/>
          </w:tcPr>
          <w:p w14:paraId="0EAFC321" w14:textId="4A53305D" w:rsidR="00E302C4" w:rsidRPr="000A1E2F" w:rsidRDefault="00412F73" w:rsidP="00E913B2">
            <w:pPr>
              <w:pStyle w:val="ListParagraph"/>
              <w:numPr>
                <w:ilvl w:val="0"/>
                <w:numId w:val="3"/>
              </w:numPr>
              <w:ind w:left="245" w:right="-360" w:hanging="245"/>
              <w:rPr>
                <w:rFonts w:ascii="Arial" w:hAnsi="Arial" w:cs="Arial"/>
              </w:rPr>
            </w:pPr>
            <w:r>
              <w:rPr>
                <w:rFonts w:ascii="Arial" w:hAnsi="Arial" w:cs="Arial"/>
              </w:rPr>
              <w:t xml:space="preserve">2022 </w:t>
            </w:r>
            <w:r w:rsidR="004F022E">
              <w:rPr>
                <w:rFonts w:ascii="Arial" w:hAnsi="Arial" w:cs="Arial"/>
              </w:rPr>
              <w:t>Outlook Is Good Despite Rising Interest Rates</w:t>
            </w:r>
          </w:p>
        </w:tc>
      </w:tr>
    </w:tbl>
    <w:p w14:paraId="59E3EC39" w14:textId="29106778" w:rsidR="00E302C4" w:rsidRPr="000A1E2F" w:rsidRDefault="00E302C4" w:rsidP="00E913B2">
      <w:pPr>
        <w:spacing w:before="120" w:after="120"/>
        <w:ind w:right="-360"/>
        <w:contextualSpacing/>
        <w:rPr>
          <w:rFonts w:ascii="Arial" w:hAnsi="Arial" w:cs="Arial"/>
          <w:sz w:val="24"/>
          <w:szCs w:val="24"/>
        </w:rPr>
      </w:pPr>
    </w:p>
    <w:p w14:paraId="27F1EB13" w14:textId="77777777" w:rsidR="00E913B2" w:rsidRPr="000A1E2F" w:rsidRDefault="00E913B2" w:rsidP="00D126F1">
      <w:pPr>
        <w:spacing w:before="120" w:after="120"/>
        <w:ind w:left="-360" w:right="-360"/>
        <w:contextualSpacing/>
        <w:rPr>
          <w:rFonts w:ascii="Arial" w:hAnsi="Arial" w:cs="Arial"/>
        </w:rPr>
      </w:pPr>
    </w:p>
    <w:tbl>
      <w:tblPr>
        <w:tblpPr w:leftFromText="187" w:rightFromText="360" w:bottomFromText="230" w:vertAnchor="text" w:horzAnchor="margin" w:tblpX="-359" w:tblpY="30"/>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932"/>
        <w:gridCol w:w="7"/>
        <w:gridCol w:w="922"/>
        <w:gridCol w:w="1013"/>
      </w:tblGrid>
      <w:tr w:rsidR="00B170CC" w:rsidRPr="000A1E2F" w14:paraId="79E06187" w14:textId="77777777" w:rsidTr="009E62B4">
        <w:trPr>
          <w:trHeight w:val="432"/>
        </w:trPr>
        <w:tc>
          <w:tcPr>
            <w:tcW w:w="4330" w:type="dxa"/>
            <w:gridSpan w:val="5"/>
            <w:tcBorders>
              <w:top w:val="nil"/>
              <w:left w:val="nil"/>
              <w:bottom w:val="nil"/>
              <w:right w:val="nil"/>
            </w:tcBorders>
            <w:shd w:val="clear" w:color="auto" w:fill="auto"/>
            <w:tcMar>
              <w:top w:w="0" w:type="dxa"/>
              <w:left w:w="108" w:type="dxa"/>
              <w:bottom w:w="0" w:type="dxa"/>
              <w:right w:w="108" w:type="dxa"/>
            </w:tcMar>
            <w:vAlign w:val="center"/>
            <w:hideMark/>
          </w:tcPr>
          <w:p w14:paraId="5C170324" w14:textId="41EAB193" w:rsidR="00B170CC" w:rsidRPr="000A1E2F" w:rsidRDefault="00757A0D" w:rsidP="009E62B4">
            <w:pPr>
              <w:spacing w:line="252" w:lineRule="auto"/>
              <w:ind w:left="-105" w:right="85"/>
              <w:rPr>
                <w:rFonts w:ascii="Arial" w:hAnsi="Arial" w:cs="Arial"/>
                <w:b/>
                <w:sz w:val="20"/>
                <w:szCs w:val="20"/>
              </w:rPr>
            </w:pPr>
            <w:r>
              <w:rPr>
                <w:rFonts w:ascii="Arial" w:hAnsi="Arial" w:cs="Arial"/>
                <w:b/>
                <w:sz w:val="20"/>
                <w:szCs w:val="20"/>
              </w:rPr>
              <w:t>December</w:t>
            </w:r>
            <w:r w:rsidR="00B170CC" w:rsidRPr="000A1E2F">
              <w:rPr>
                <w:rFonts w:ascii="Arial" w:hAnsi="Arial" w:cs="Arial"/>
                <w:b/>
                <w:sz w:val="20"/>
                <w:szCs w:val="20"/>
              </w:rPr>
              <w:t xml:space="preserve"> Sales</w:t>
            </w:r>
          </w:p>
        </w:tc>
      </w:tr>
      <w:tr w:rsidR="00B170CC" w:rsidRPr="000A1E2F" w14:paraId="5B14E643" w14:textId="77777777" w:rsidTr="009E62B4">
        <w:trPr>
          <w:trHeight w:val="288"/>
        </w:trPr>
        <w:tc>
          <w:tcPr>
            <w:tcW w:w="1456" w:type="dxa"/>
            <w:tcBorders>
              <w:top w:val="nil"/>
              <w:left w:val="nil"/>
              <w:bottom w:val="nil"/>
              <w:right w:val="single" w:sz="12" w:space="0" w:color="FFFFFF"/>
            </w:tcBorders>
            <w:shd w:val="clear" w:color="auto" w:fill="1F4E79" w:themeFill="accent1" w:themeFillShade="80"/>
            <w:vAlign w:val="center"/>
            <w:hideMark/>
          </w:tcPr>
          <w:p w14:paraId="300A7600" w14:textId="77777777" w:rsidR="00B170CC" w:rsidRPr="000A1E2F" w:rsidRDefault="00B170CC" w:rsidP="009E62B4">
            <w:pPr>
              <w:ind w:left="175" w:right="100"/>
              <w:jc w:val="center"/>
              <w:rPr>
                <w:rFonts w:ascii="Arial" w:hAnsi="Arial" w:cs="Arial"/>
                <w:b/>
                <w:color w:val="FFFFFF" w:themeColor="background1"/>
                <w:sz w:val="20"/>
                <w:szCs w:val="20"/>
              </w:rPr>
            </w:pPr>
            <w:r w:rsidRPr="000A1E2F">
              <w:rPr>
                <w:rFonts w:ascii="Arial" w:hAnsi="Arial" w:cs="Arial"/>
                <w:b/>
                <w:color w:val="FFFFFF" w:themeColor="background1"/>
                <w:sz w:val="20"/>
                <w:szCs w:val="20"/>
              </w:rPr>
              <w:t>County</w:t>
            </w:r>
          </w:p>
        </w:tc>
        <w:tc>
          <w:tcPr>
            <w:tcW w:w="932"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14:paraId="1C5D9E84" w14:textId="77777777" w:rsidR="00B170CC" w:rsidRPr="000A1E2F" w:rsidRDefault="00B170CC" w:rsidP="009E62B4">
            <w:pPr>
              <w:spacing w:line="207" w:lineRule="atLeast"/>
              <w:ind w:left="44" w:right="62"/>
              <w:jc w:val="center"/>
              <w:rPr>
                <w:rFonts w:ascii="Arial" w:hAnsi="Arial" w:cs="Arial"/>
                <w:color w:val="FFFFFF" w:themeColor="background1"/>
                <w:sz w:val="20"/>
                <w:szCs w:val="20"/>
              </w:rPr>
            </w:pPr>
            <w:r w:rsidRPr="000A1E2F">
              <w:rPr>
                <w:rFonts w:ascii="Arial" w:hAnsi="Arial" w:cs="Arial"/>
                <w:color w:val="FFFFFF" w:themeColor="background1"/>
                <w:sz w:val="20"/>
                <w:szCs w:val="20"/>
              </w:rPr>
              <w:t>2020</w:t>
            </w:r>
          </w:p>
        </w:tc>
        <w:tc>
          <w:tcPr>
            <w:tcW w:w="929"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vAlign w:val="center"/>
            <w:hideMark/>
          </w:tcPr>
          <w:p w14:paraId="4E96F07D" w14:textId="77777777" w:rsidR="00B170CC" w:rsidRPr="000A1E2F" w:rsidRDefault="00B170CC" w:rsidP="009E62B4">
            <w:pPr>
              <w:spacing w:line="207" w:lineRule="atLeast"/>
              <w:ind w:right="-23"/>
              <w:jc w:val="center"/>
              <w:rPr>
                <w:rFonts w:ascii="Arial" w:hAnsi="Arial" w:cs="Arial"/>
                <w:color w:val="FFFFFF" w:themeColor="background1"/>
                <w:sz w:val="20"/>
                <w:szCs w:val="20"/>
              </w:rPr>
            </w:pPr>
            <w:r w:rsidRPr="000A1E2F">
              <w:rPr>
                <w:rFonts w:ascii="Arial" w:hAnsi="Arial" w:cs="Arial"/>
                <w:color w:val="FFFFFF" w:themeColor="background1"/>
                <w:sz w:val="20"/>
                <w:szCs w:val="20"/>
              </w:rPr>
              <w:t>2021</w:t>
            </w:r>
          </w:p>
        </w:tc>
        <w:tc>
          <w:tcPr>
            <w:tcW w:w="1013" w:type="dxa"/>
            <w:tcBorders>
              <w:top w:val="nil"/>
              <w:left w:val="single" w:sz="12" w:space="0" w:color="FFFFFF"/>
              <w:bottom w:val="nil"/>
              <w:right w:val="nil"/>
            </w:tcBorders>
            <w:shd w:val="clear" w:color="auto" w:fill="1F4E79" w:themeFill="accent1" w:themeFillShade="80"/>
            <w:vAlign w:val="center"/>
          </w:tcPr>
          <w:p w14:paraId="0F94D0A4" w14:textId="77777777" w:rsidR="00B170CC" w:rsidRPr="000A1E2F" w:rsidRDefault="00B170CC" w:rsidP="009E62B4">
            <w:pPr>
              <w:ind w:right="15"/>
              <w:jc w:val="center"/>
              <w:rPr>
                <w:rFonts w:ascii="Arial" w:hAnsi="Arial" w:cs="Arial"/>
                <w:color w:val="FFFFFF" w:themeColor="background1"/>
                <w:sz w:val="20"/>
                <w:szCs w:val="20"/>
              </w:rPr>
            </w:pPr>
            <w:r w:rsidRPr="000A1E2F">
              <w:rPr>
                <w:rFonts w:ascii="Arial" w:hAnsi="Arial" w:cs="Arial"/>
                <w:color w:val="FFFFFF" w:themeColor="background1"/>
                <w:sz w:val="20"/>
                <w:szCs w:val="20"/>
              </w:rPr>
              <w:t>% Change</w:t>
            </w:r>
          </w:p>
        </w:tc>
      </w:tr>
      <w:tr w:rsidR="003F321A" w:rsidRPr="000A1E2F" w14:paraId="20306320" w14:textId="77777777" w:rsidTr="009E62B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14:paraId="4BD28B81"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Milwaukee</w:t>
            </w:r>
          </w:p>
        </w:tc>
        <w:tc>
          <w:tcPr>
            <w:tcW w:w="932" w:type="dxa"/>
            <w:tcBorders>
              <w:top w:val="nil"/>
              <w:left w:val="nil"/>
              <w:bottom w:val="nil"/>
              <w:right w:val="nil"/>
            </w:tcBorders>
            <w:shd w:val="clear" w:color="auto" w:fill="auto"/>
            <w:tcMar>
              <w:top w:w="0" w:type="dxa"/>
              <w:left w:w="108" w:type="dxa"/>
              <w:bottom w:w="0" w:type="dxa"/>
              <w:right w:w="108" w:type="dxa"/>
            </w:tcMar>
            <w:vAlign w:val="center"/>
          </w:tcPr>
          <w:p w14:paraId="673EB4AB" w14:textId="02E10C7F" w:rsidR="003F321A" w:rsidRPr="000A1E2F" w:rsidRDefault="003F321A" w:rsidP="009E62B4">
            <w:pPr>
              <w:spacing w:line="252" w:lineRule="auto"/>
              <w:ind w:left="44" w:right="62"/>
              <w:jc w:val="right"/>
              <w:rPr>
                <w:rFonts w:ascii="Arial" w:hAnsi="Arial" w:cs="Arial"/>
                <w:sz w:val="20"/>
                <w:szCs w:val="20"/>
              </w:rPr>
            </w:pPr>
            <w:r w:rsidRPr="004B7313">
              <w:t>1</w:t>
            </w:r>
            <w:r>
              <w:t>,</w:t>
            </w:r>
            <w:r w:rsidRPr="004B7313">
              <w:t>067</w:t>
            </w:r>
          </w:p>
        </w:tc>
        <w:tc>
          <w:tcPr>
            <w:tcW w:w="929" w:type="dxa"/>
            <w:gridSpan w:val="2"/>
            <w:tcBorders>
              <w:top w:val="nil"/>
              <w:left w:val="nil"/>
              <w:bottom w:val="nil"/>
              <w:right w:val="nil"/>
            </w:tcBorders>
            <w:shd w:val="clear" w:color="auto" w:fill="auto"/>
            <w:tcMar>
              <w:top w:w="0" w:type="dxa"/>
              <w:left w:w="108" w:type="dxa"/>
              <w:bottom w:w="0" w:type="dxa"/>
              <w:right w:w="108" w:type="dxa"/>
            </w:tcMar>
            <w:vAlign w:val="center"/>
          </w:tcPr>
          <w:p w14:paraId="6BA5F808" w14:textId="0EA916A4" w:rsidR="003F321A" w:rsidRPr="000A1E2F" w:rsidRDefault="003F321A" w:rsidP="009E62B4">
            <w:pPr>
              <w:spacing w:line="252" w:lineRule="auto"/>
              <w:ind w:right="62"/>
              <w:jc w:val="right"/>
              <w:rPr>
                <w:rFonts w:ascii="Arial" w:hAnsi="Arial" w:cs="Arial"/>
                <w:sz w:val="20"/>
                <w:szCs w:val="20"/>
              </w:rPr>
            </w:pPr>
            <w:r w:rsidRPr="004B7313">
              <w:t>1</w:t>
            </w:r>
            <w:r>
              <w:t>,</w:t>
            </w:r>
            <w:r w:rsidRPr="004B7313">
              <w:t>178</w:t>
            </w:r>
          </w:p>
        </w:tc>
        <w:tc>
          <w:tcPr>
            <w:tcW w:w="1013" w:type="dxa"/>
            <w:tcBorders>
              <w:top w:val="nil"/>
              <w:left w:val="nil"/>
              <w:bottom w:val="nil"/>
              <w:right w:val="nil"/>
            </w:tcBorders>
            <w:shd w:val="clear" w:color="auto" w:fill="auto"/>
            <w:vAlign w:val="center"/>
          </w:tcPr>
          <w:p w14:paraId="59294B08" w14:textId="0FEB26F2" w:rsidR="003F321A" w:rsidRPr="000A1E2F" w:rsidRDefault="003F321A" w:rsidP="009E62B4">
            <w:pPr>
              <w:spacing w:line="252" w:lineRule="auto"/>
              <w:ind w:right="195"/>
              <w:jc w:val="right"/>
              <w:rPr>
                <w:rFonts w:ascii="Arial" w:hAnsi="Arial" w:cs="Arial"/>
                <w:sz w:val="20"/>
                <w:szCs w:val="20"/>
              </w:rPr>
            </w:pPr>
            <w:r w:rsidRPr="004B7313">
              <w:t>10.4%</w:t>
            </w:r>
          </w:p>
        </w:tc>
      </w:tr>
      <w:tr w:rsidR="003F321A" w:rsidRPr="000A1E2F" w14:paraId="476C4D87" w14:textId="77777777" w:rsidTr="009E62B4">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7B5787B5"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Waukesha</w:t>
            </w:r>
          </w:p>
        </w:tc>
        <w:tc>
          <w:tcPr>
            <w:tcW w:w="93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7FE16B9" w14:textId="3524802A" w:rsidR="003F321A" w:rsidRPr="000A1E2F" w:rsidRDefault="003F321A" w:rsidP="009E62B4">
            <w:pPr>
              <w:spacing w:line="252" w:lineRule="auto"/>
              <w:ind w:left="44" w:right="62"/>
              <w:jc w:val="right"/>
              <w:rPr>
                <w:rFonts w:ascii="Arial" w:hAnsi="Arial" w:cs="Arial"/>
                <w:sz w:val="20"/>
                <w:szCs w:val="20"/>
              </w:rPr>
            </w:pPr>
            <w:r w:rsidRPr="004B7313">
              <w:t>476</w:t>
            </w:r>
          </w:p>
        </w:tc>
        <w:tc>
          <w:tcPr>
            <w:tcW w:w="92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9BAADAC" w14:textId="746964BA" w:rsidR="003F321A" w:rsidRPr="000A1E2F" w:rsidRDefault="003F321A" w:rsidP="009E62B4">
            <w:pPr>
              <w:spacing w:line="252" w:lineRule="auto"/>
              <w:ind w:right="62"/>
              <w:jc w:val="right"/>
              <w:rPr>
                <w:rFonts w:ascii="Arial" w:hAnsi="Arial" w:cs="Arial"/>
                <w:sz w:val="20"/>
                <w:szCs w:val="20"/>
              </w:rPr>
            </w:pPr>
            <w:r w:rsidRPr="004B7313">
              <w:t>510</w:t>
            </w:r>
          </w:p>
        </w:tc>
        <w:tc>
          <w:tcPr>
            <w:tcW w:w="1013" w:type="dxa"/>
            <w:tcBorders>
              <w:top w:val="nil"/>
              <w:left w:val="nil"/>
              <w:bottom w:val="nil"/>
              <w:right w:val="nil"/>
            </w:tcBorders>
            <w:shd w:val="clear" w:color="auto" w:fill="DEEAF6" w:themeFill="accent1" w:themeFillTint="33"/>
            <w:vAlign w:val="center"/>
          </w:tcPr>
          <w:p w14:paraId="29A559A1" w14:textId="5894C893" w:rsidR="003F321A" w:rsidRPr="000A1E2F" w:rsidRDefault="003F321A" w:rsidP="009E62B4">
            <w:pPr>
              <w:spacing w:line="252" w:lineRule="auto"/>
              <w:ind w:right="195"/>
              <w:jc w:val="right"/>
              <w:rPr>
                <w:rFonts w:ascii="Arial" w:hAnsi="Arial" w:cs="Arial"/>
                <w:sz w:val="20"/>
                <w:szCs w:val="20"/>
              </w:rPr>
            </w:pPr>
            <w:r w:rsidRPr="004B7313">
              <w:t>7.1%</w:t>
            </w:r>
          </w:p>
        </w:tc>
      </w:tr>
      <w:tr w:rsidR="003F321A" w:rsidRPr="000A1E2F" w14:paraId="7C64D003" w14:textId="77777777" w:rsidTr="009E62B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hideMark/>
          </w:tcPr>
          <w:p w14:paraId="20E71E4B"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Washington</w:t>
            </w:r>
          </w:p>
        </w:tc>
        <w:tc>
          <w:tcPr>
            <w:tcW w:w="932" w:type="dxa"/>
            <w:tcBorders>
              <w:top w:val="nil"/>
              <w:left w:val="nil"/>
              <w:bottom w:val="nil"/>
              <w:right w:val="nil"/>
            </w:tcBorders>
            <w:shd w:val="clear" w:color="auto" w:fill="auto"/>
            <w:tcMar>
              <w:top w:w="0" w:type="dxa"/>
              <w:left w:w="108" w:type="dxa"/>
              <w:bottom w:w="0" w:type="dxa"/>
              <w:right w:w="108" w:type="dxa"/>
            </w:tcMar>
            <w:vAlign w:val="center"/>
          </w:tcPr>
          <w:p w14:paraId="5D81EC73" w14:textId="413EFA15" w:rsidR="003F321A" w:rsidRPr="000A1E2F" w:rsidRDefault="003F321A" w:rsidP="009E62B4">
            <w:pPr>
              <w:spacing w:line="252" w:lineRule="auto"/>
              <w:ind w:left="44" w:right="62"/>
              <w:jc w:val="right"/>
              <w:rPr>
                <w:rFonts w:ascii="Arial" w:hAnsi="Arial" w:cs="Arial"/>
                <w:sz w:val="20"/>
                <w:szCs w:val="20"/>
              </w:rPr>
            </w:pPr>
            <w:r w:rsidRPr="004B7313">
              <w:t>173</w:t>
            </w:r>
          </w:p>
        </w:tc>
        <w:tc>
          <w:tcPr>
            <w:tcW w:w="929" w:type="dxa"/>
            <w:gridSpan w:val="2"/>
            <w:tcBorders>
              <w:top w:val="nil"/>
              <w:left w:val="nil"/>
              <w:bottom w:val="nil"/>
              <w:right w:val="nil"/>
            </w:tcBorders>
            <w:shd w:val="clear" w:color="auto" w:fill="auto"/>
            <w:tcMar>
              <w:top w:w="0" w:type="dxa"/>
              <w:left w:w="108" w:type="dxa"/>
              <w:bottom w:w="0" w:type="dxa"/>
              <w:right w:w="108" w:type="dxa"/>
            </w:tcMar>
            <w:vAlign w:val="center"/>
          </w:tcPr>
          <w:p w14:paraId="5C58E35F" w14:textId="0F4294F7" w:rsidR="003F321A" w:rsidRPr="000A1E2F" w:rsidRDefault="003F321A" w:rsidP="009E62B4">
            <w:pPr>
              <w:spacing w:line="252" w:lineRule="auto"/>
              <w:ind w:right="62"/>
              <w:jc w:val="right"/>
              <w:rPr>
                <w:rFonts w:ascii="Arial" w:hAnsi="Arial" w:cs="Arial"/>
                <w:sz w:val="20"/>
                <w:szCs w:val="20"/>
              </w:rPr>
            </w:pPr>
            <w:r w:rsidRPr="004B7313">
              <w:t>160</w:t>
            </w:r>
          </w:p>
        </w:tc>
        <w:tc>
          <w:tcPr>
            <w:tcW w:w="1013" w:type="dxa"/>
            <w:tcBorders>
              <w:top w:val="nil"/>
              <w:left w:val="nil"/>
              <w:bottom w:val="nil"/>
              <w:right w:val="nil"/>
            </w:tcBorders>
            <w:shd w:val="clear" w:color="auto" w:fill="auto"/>
            <w:vAlign w:val="center"/>
          </w:tcPr>
          <w:p w14:paraId="5917AD6B" w14:textId="6F33EB41" w:rsidR="003F321A" w:rsidRPr="000A1E2F" w:rsidRDefault="003F321A" w:rsidP="009E62B4">
            <w:pPr>
              <w:spacing w:line="252" w:lineRule="auto"/>
              <w:ind w:right="195"/>
              <w:jc w:val="right"/>
              <w:rPr>
                <w:rFonts w:ascii="Arial" w:hAnsi="Arial" w:cs="Arial"/>
                <w:sz w:val="20"/>
                <w:szCs w:val="20"/>
              </w:rPr>
            </w:pPr>
            <w:r w:rsidRPr="004B7313">
              <w:t>-7.5%</w:t>
            </w:r>
          </w:p>
        </w:tc>
      </w:tr>
      <w:tr w:rsidR="003F321A" w:rsidRPr="000A1E2F" w14:paraId="73B88858" w14:textId="77777777" w:rsidTr="009E62B4">
        <w:trPr>
          <w:trHeight w:val="288"/>
        </w:trPr>
        <w:tc>
          <w:tcPr>
            <w:tcW w:w="1456"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428D03BE"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Ozaukee</w:t>
            </w:r>
          </w:p>
        </w:tc>
        <w:tc>
          <w:tcPr>
            <w:tcW w:w="93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36D56538" w14:textId="4AFEB843" w:rsidR="003F321A" w:rsidRPr="000A1E2F" w:rsidRDefault="003F321A" w:rsidP="009E62B4">
            <w:pPr>
              <w:spacing w:line="252" w:lineRule="auto"/>
              <w:ind w:left="44" w:right="62"/>
              <w:jc w:val="right"/>
              <w:rPr>
                <w:rFonts w:ascii="Arial" w:hAnsi="Arial" w:cs="Arial"/>
                <w:sz w:val="20"/>
                <w:szCs w:val="20"/>
              </w:rPr>
            </w:pPr>
            <w:r w:rsidRPr="004B7313">
              <w:t>108</w:t>
            </w:r>
          </w:p>
        </w:tc>
        <w:tc>
          <w:tcPr>
            <w:tcW w:w="92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3398DCFA" w14:textId="1124161A" w:rsidR="003F321A" w:rsidRPr="000A1E2F" w:rsidRDefault="003F321A" w:rsidP="009E62B4">
            <w:pPr>
              <w:spacing w:line="252" w:lineRule="auto"/>
              <w:ind w:right="62"/>
              <w:jc w:val="right"/>
              <w:rPr>
                <w:rFonts w:ascii="Arial" w:hAnsi="Arial" w:cs="Arial"/>
                <w:sz w:val="20"/>
                <w:szCs w:val="20"/>
              </w:rPr>
            </w:pPr>
            <w:r w:rsidRPr="004B7313">
              <w:t>115</w:t>
            </w:r>
          </w:p>
        </w:tc>
        <w:tc>
          <w:tcPr>
            <w:tcW w:w="1013" w:type="dxa"/>
            <w:tcBorders>
              <w:top w:val="nil"/>
              <w:left w:val="nil"/>
              <w:bottom w:val="nil"/>
              <w:right w:val="nil"/>
            </w:tcBorders>
            <w:shd w:val="clear" w:color="auto" w:fill="DEEAF6" w:themeFill="accent1" w:themeFillTint="33"/>
            <w:vAlign w:val="center"/>
          </w:tcPr>
          <w:p w14:paraId="0A622F2D" w14:textId="691B9BC2" w:rsidR="003F321A" w:rsidRPr="000A1E2F" w:rsidRDefault="003F321A" w:rsidP="009E62B4">
            <w:pPr>
              <w:spacing w:line="252" w:lineRule="auto"/>
              <w:ind w:right="195"/>
              <w:jc w:val="right"/>
              <w:rPr>
                <w:rFonts w:ascii="Arial" w:hAnsi="Arial" w:cs="Arial"/>
                <w:sz w:val="20"/>
                <w:szCs w:val="20"/>
              </w:rPr>
            </w:pPr>
            <w:r w:rsidRPr="004B7313">
              <w:t>6.5%</w:t>
            </w:r>
          </w:p>
        </w:tc>
      </w:tr>
      <w:tr w:rsidR="003F321A" w:rsidRPr="000A1E2F" w14:paraId="29367927" w14:textId="77777777" w:rsidTr="009E62B4">
        <w:trPr>
          <w:trHeight w:val="288"/>
        </w:trPr>
        <w:tc>
          <w:tcPr>
            <w:tcW w:w="1456"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09537E40"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Metro Area</w:t>
            </w:r>
          </w:p>
        </w:tc>
        <w:tc>
          <w:tcPr>
            <w:tcW w:w="932"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631F0E7A" w14:textId="44B5C7B4" w:rsidR="003F321A" w:rsidRPr="000A1E2F" w:rsidRDefault="003F321A" w:rsidP="009E62B4">
            <w:pPr>
              <w:spacing w:line="252" w:lineRule="auto"/>
              <w:ind w:left="44" w:right="62"/>
              <w:jc w:val="right"/>
              <w:rPr>
                <w:rFonts w:ascii="Arial" w:hAnsi="Arial" w:cs="Arial"/>
                <w:sz w:val="20"/>
                <w:szCs w:val="20"/>
              </w:rPr>
            </w:pPr>
            <w:r w:rsidRPr="004B7313">
              <w:t>1,824</w:t>
            </w:r>
          </w:p>
        </w:tc>
        <w:tc>
          <w:tcPr>
            <w:tcW w:w="929"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397B451F" w14:textId="007DFAE1" w:rsidR="003F321A" w:rsidRPr="000A1E2F" w:rsidRDefault="003F321A" w:rsidP="009E62B4">
            <w:pPr>
              <w:spacing w:line="252" w:lineRule="auto"/>
              <w:ind w:right="62"/>
              <w:jc w:val="right"/>
              <w:rPr>
                <w:rFonts w:ascii="Arial" w:hAnsi="Arial" w:cs="Arial"/>
                <w:sz w:val="20"/>
                <w:szCs w:val="20"/>
              </w:rPr>
            </w:pPr>
            <w:r w:rsidRPr="004B7313">
              <w:t>1,963</w:t>
            </w:r>
          </w:p>
        </w:tc>
        <w:tc>
          <w:tcPr>
            <w:tcW w:w="1013" w:type="dxa"/>
            <w:tcBorders>
              <w:top w:val="nil"/>
              <w:left w:val="nil"/>
              <w:bottom w:val="nil"/>
              <w:right w:val="nil"/>
            </w:tcBorders>
            <w:shd w:val="clear" w:color="auto" w:fill="auto"/>
            <w:vAlign w:val="center"/>
          </w:tcPr>
          <w:p w14:paraId="49179831" w14:textId="47F3684D" w:rsidR="003F321A" w:rsidRPr="000A1E2F" w:rsidRDefault="003F321A" w:rsidP="009E62B4">
            <w:pPr>
              <w:spacing w:line="252" w:lineRule="auto"/>
              <w:ind w:right="195"/>
              <w:jc w:val="right"/>
              <w:rPr>
                <w:rFonts w:ascii="Arial" w:hAnsi="Arial" w:cs="Arial"/>
                <w:sz w:val="20"/>
                <w:szCs w:val="20"/>
              </w:rPr>
            </w:pPr>
            <w:r w:rsidRPr="004B7313">
              <w:t>7.6%</w:t>
            </w:r>
          </w:p>
        </w:tc>
      </w:tr>
      <w:tr w:rsidR="00B170CC" w:rsidRPr="000A1E2F" w14:paraId="0DD73203" w14:textId="77777777" w:rsidTr="009E62B4">
        <w:trPr>
          <w:trHeight w:val="80"/>
        </w:trPr>
        <w:tc>
          <w:tcPr>
            <w:tcW w:w="4330" w:type="dxa"/>
            <w:gridSpan w:val="5"/>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9D28F7B" w14:textId="77777777" w:rsidR="00B170CC" w:rsidRPr="000A1E2F" w:rsidRDefault="00B170CC" w:rsidP="009E62B4">
            <w:pPr>
              <w:spacing w:line="252" w:lineRule="auto"/>
              <w:ind w:right="195"/>
              <w:jc w:val="right"/>
              <w:rPr>
                <w:rFonts w:ascii="Arial" w:hAnsi="Arial" w:cs="Arial"/>
                <w:sz w:val="10"/>
                <w:szCs w:val="10"/>
              </w:rPr>
            </w:pPr>
          </w:p>
        </w:tc>
      </w:tr>
      <w:tr w:rsidR="003F321A" w:rsidRPr="000A1E2F" w14:paraId="4DB026E3" w14:textId="77777777" w:rsidTr="009E62B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14:paraId="13A645C7"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Racine</w:t>
            </w:r>
          </w:p>
        </w:tc>
        <w:tc>
          <w:tcPr>
            <w:tcW w:w="939" w:type="dxa"/>
            <w:gridSpan w:val="2"/>
            <w:tcBorders>
              <w:top w:val="nil"/>
              <w:left w:val="nil"/>
              <w:bottom w:val="nil"/>
              <w:right w:val="nil"/>
            </w:tcBorders>
            <w:shd w:val="clear" w:color="auto" w:fill="auto"/>
            <w:tcMar>
              <w:top w:w="0" w:type="dxa"/>
              <w:left w:w="108" w:type="dxa"/>
              <w:bottom w:w="0" w:type="dxa"/>
              <w:right w:w="108" w:type="dxa"/>
            </w:tcMar>
            <w:vAlign w:val="center"/>
          </w:tcPr>
          <w:p w14:paraId="6CCFAEF8" w14:textId="14F70903" w:rsidR="003F321A" w:rsidRPr="000A1E2F" w:rsidRDefault="003F321A" w:rsidP="009E62B4">
            <w:pPr>
              <w:spacing w:line="252" w:lineRule="auto"/>
              <w:ind w:left="44" w:right="62"/>
              <w:jc w:val="right"/>
              <w:rPr>
                <w:rFonts w:ascii="Arial" w:hAnsi="Arial" w:cs="Arial"/>
                <w:sz w:val="20"/>
                <w:szCs w:val="20"/>
              </w:rPr>
            </w:pPr>
            <w:r w:rsidRPr="0065019D">
              <w:t>247</w:t>
            </w:r>
          </w:p>
        </w:tc>
        <w:tc>
          <w:tcPr>
            <w:tcW w:w="922" w:type="dxa"/>
            <w:tcBorders>
              <w:top w:val="nil"/>
              <w:left w:val="nil"/>
              <w:bottom w:val="nil"/>
              <w:right w:val="nil"/>
            </w:tcBorders>
            <w:shd w:val="clear" w:color="auto" w:fill="auto"/>
            <w:tcMar>
              <w:top w:w="0" w:type="dxa"/>
              <w:left w:w="108" w:type="dxa"/>
              <w:bottom w:w="0" w:type="dxa"/>
              <w:right w:w="108" w:type="dxa"/>
            </w:tcMar>
            <w:vAlign w:val="center"/>
          </w:tcPr>
          <w:p w14:paraId="76784B77" w14:textId="733C336B" w:rsidR="003F321A" w:rsidRPr="000A1E2F" w:rsidRDefault="003F321A" w:rsidP="009E62B4">
            <w:pPr>
              <w:spacing w:line="252" w:lineRule="auto"/>
              <w:ind w:right="62"/>
              <w:jc w:val="right"/>
              <w:rPr>
                <w:rFonts w:ascii="Arial" w:hAnsi="Arial" w:cs="Arial"/>
                <w:sz w:val="20"/>
                <w:szCs w:val="20"/>
              </w:rPr>
            </w:pPr>
            <w:r w:rsidRPr="0065019D">
              <w:t>309</w:t>
            </w:r>
          </w:p>
        </w:tc>
        <w:tc>
          <w:tcPr>
            <w:tcW w:w="1013" w:type="dxa"/>
            <w:tcBorders>
              <w:top w:val="nil"/>
              <w:left w:val="nil"/>
              <w:bottom w:val="nil"/>
              <w:right w:val="nil"/>
            </w:tcBorders>
            <w:shd w:val="clear" w:color="auto" w:fill="auto"/>
            <w:vAlign w:val="center"/>
          </w:tcPr>
          <w:p w14:paraId="7FF3F94E" w14:textId="3D869318" w:rsidR="003F321A" w:rsidRPr="000A1E2F" w:rsidRDefault="003F321A" w:rsidP="009E62B4">
            <w:pPr>
              <w:spacing w:line="252" w:lineRule="auto"/>
              <w:ind w:right="195"/>
              <w:jc w:val="right"/>
              <w:rPr>
                <w:rFonts w:ascii="Arial" w:hAnsi="Arial" w:cs="Arial"/>
                <w:sz w:val="20"/>
                <w:szCs w:val="20"/>
              </w:rPr>
            </w:pPr>
            <w:r w:rsidRPr="0065019D">
              <w:t>25.1%</w:t>
            </w:r>
          </w:p>
        </w:tc>
      </w:tr>
      <w:tr w:rsidR="003F321A" w:rsidRPr="000A1E2F" w14:paraId="509D9972" w14:textId="77777777" w:rsidTr="009E62B4">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9D0AE8C"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Kenosha</w:t>
            </w:r>
          </w:p>
        </w:tc>
        <w:tc>
          <w:tcPr>
            <w:tcW w:w="93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5C53A21" w14:textId="374C33B7" w:rsidR="003F321A" w:rsidRPr="000A1E2F" w:rsidRDefault="003F321A" w:rsidP="009E62B4">
            <w:pPr>
              <w:spacing w:line="252" w:lineRule="auto"/>
              <w:ind w:left="44" w:right="62"/>
              <w:jc w:val="right"/>
              <w:rPr>
                <w:rFonts w:ascii="Arial" w:hAnsi="Arial" w:cs="Arial"/>
                <w:sz w:val="20"/>
                <w:szCs w:val="20"/>
              </w:rPr>
            </w:pPr>
            <w:r w:rsidRPr="0065019D">
              <w:t>214</w:t>
            </w:r>
          </w:p>
        </w:tc>
        <w:tc>
          <w:tcPr>
            <w:tcW w:w="92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A53D4D7" w14:textId="2DF844AF" w:rsidR="003F321A" w:rsidRPr="000A1E2F" w:rsidRDefault="003F321A" w:rsidP="009E62B4">
            <w:pPr>
              <w:spacing w:line="252" w:lineRule="auto"/>
              <w:ind w:right="62"/>
              <w:jc w:val="right"/>
              <w:rPr>
                <w:rFonts w:ascii="Arial" w:hAnsi="Arial" w:cs="Arial"/>
                <w:sz w:val="20"/>
                <w:szCs w:val="20"/>
              </w:rPr>
            </w:pPr>
            <w:r w:rsidRPr="0065019D">
              <w:t>222</w:t>
            </w:r>
          </w:p>
        </w:tc>
        <w:tc>
          <w:tcPr>
            <w:tcW w:w="1013" w:type="dxa"/>
            <w:tcBorders>
              <w:top w:val="nil"/>
              <w:left w:val="nil"/>
              <w:bottom w:val="nil"/>
              <w:right w:val="nil"/>
            </w:tcBorders>
            <w:shd w:val="clear" w:color="auto" w:fill="DEEAF6" w:themeFill="accent1" w:themeFillTint="33"/>
            <w:vAlign w:val="center"/>
          </w:tcPr>
          <w:p w14:paraId="4D18EF35" w14:textId="62959270" w:rsidR="003F321A" w:rsidRPr="000A1E2F" w:rsidRDefault="003F321A" w:rsidP="009E62B4">
            <w:pPr>
              <w:spacing w:line="252" w:lineRule="auto"/>
              <w:ind w:right="195"/>
              <w:jc w:val="right"/>
              <w:rPr>
                <w:rFonts w:ascii="Arial" w:hAnsi="Arial" w:cs="Arial"/>
                <w:sz w:val="20"/>
                <w:szCs w:val="20"/>
              </w:rPr>
            </w:pPr>
            <w:r w:rsidRPr="0065019D">
              <w:t>3.7%</w:t>
            </w:r>
          </w:p>
        </w:tc>
      </w:tr>
      <w:tr w:rsidR="003F321A" w:rsidRPr="000A1E2F" w14:paraId="42ECBD06" w14:textId="77777777" w:rsidTr="009E62B4">
        <w:trPr>
          <w:trHeight w:val="288"/>
        </w:trPr>
        <w:tc>
          <w:tcPr>
            <w:tcW w:w="1456"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49149869"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Walworth</w:t>
            </w:r>
          </w:p>
        </w:tc>
        <w:tc>
          <w:tcPr>
            <w:tcW w:w="939"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3627C07F" w14:textId="21DAA2C3" w:rsidR="003F321A" w:rsidRPr="000A1E2F" w:rsidRDefault="003F321A" w:rsidP="009E62B4">
            <w:pPr>
              <w:spacing w:line="252" w:lineRule="auto"/>
              <w:ind w:left="44" w:right="62"/>
              <w:jc w:val="right"/>
              <w:rPr>
                <w:rFonts w:ascii="Arial" w:hAnsi="Arial" w:cs="Arial"/>
                <w:sz w:val="20"/>
                <w:szCs w:val="20"/>
              </w:rPr>
            </w:pPr>
            <w:r w:rsidRPr="0065019D">
              <w:t>158</w:t>
            </w:r>
          </w:p>
        </w:tc>
        <w:tc>
          <w:tcPr>
            <w:tcW w:w="92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2E10A580" w14:textId="0FF213D7" w:rsidR="003F321A" w:rsidRPr="000A1E2F" w:rsidRDefault="003F321A" w:rsidP="009E62B4">
            <w:pPr>
              <w:spacing w:line="252" w:lineRule="auto"/>
              <w:ind w:right="62"/>
              <w:jc w:val="right"/>
              <w:rPr>
                <w:rFonts w:ascii="Arial" w:hAnsi="Arial" w:cs="Arial"/>
                <w:sz w:val="20"/>
                <w:szCs w:val="20"/>
              </w:rPr>
            </w:pPr>
            <w:r w:rsidRPr="0065019D">
              <w:t>165</w:t>
            </w:r>
          </w:p>
        </w:tc>
        <w:tc>
          <w:tcPr>
            <w:tcW w:w="1013" w:type="dxa"/>
            <w:tcBorders>
              <w:top w:val="nil"/>
              <w:left w:val="nil"/>
              <w:bottom w:val="nil"/>
              <w:right w:val="nil"/>
            </w:tcBorders>
            <w:shd w:val="clear" w:color="auto" w:fill="auto"/>
            <w:vAlign w:val="center"/>
          </w:tcPr>
          <w:p w14:paraId="4FA9DF6A" w14:textId="113A5B1D" w:rsidR="003F321A" w:rsidRPr="000A1E2F" w:rsidRDefault="003F321A" w:rsidP="009E62B4">
            <w:pPr>
              <w:spacing w:line="252" w:lineRule="auto"/>
              <w:ind w:right="195"/>
              <w:jc w:val="right"/>
              <w:rPr>
                <w:rFonts w:ascii="Arial" w:hAnsi="Arial" w:cs="Arial"/>
                <w:sz w:val="20"/>
                <w:szCs w:val="20"/>
              </w:rPr>
            </w:pPr>
            <w:r w:rsidRPr="0065019D">
              <w:t>4.4%</w:t>
            </w:r>
          </w:p>
        </w:tc>
      </w:tr>
      <w:tr w:rsidR="003F321A" w:rsidRPr="000A1E2F" w14:paraId="122A5C4D" w14:textId="77777777" w:rsidTr="009E62B4">
        <w:trPr>
          <w:trHeight w:val="288"/>
        </w:trPr>
        <w:tc>
          <w:tcPr>
            <w:tcW w:w="1456"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0F1C6F04"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SE WI Area</w:t>
            </w:r>
          </w:p>
        </w:tc>
        <w:tc>
          <w:tcPr>
            <w:tcW w:w="93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50DBAC24" w14:textId="77E1E0F3" w:rsidR="003F321A" w:rsidRPr="000A1E2F" w:rsidRDefault="003F321A" w:rsidP="009E62B4">
            <w:pPr>
              <w:spacing w:line="252" w:lineRule="auto"/>
              <w:ind w:left="44" w:right="62"/>
              <w:jc w:val="right"/>
              <w:rPr>
                <w:rFonts w:ascii="Arial" w:hAnsi="Arial" w:cs="Arial"/>
                <w:sz w:val="20"/>
                <w:szCs w:val="20"/>
              </w:rPr>
            </w:pPr>
            <w:r w:rsidRPr="0065019D">
              <w:t>2,443</w:t>
            </w:r>
          </w:p>
        </w:tc>
        <w:tc>
          <w:tcPr>
            <w:tcW w:w="92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667CA0E" w14:textId="5437260D" w:rsidR="003F321A" w:rsidRPr="000A1E2F" w:rsidRDefault="003F321A" w:rsidP="009E62B4">
            <w:pPr>
              <w:spacing w:line="252" w:lineRule="auto"/>
              <w:ind w:right="62"/>
              <w:jc w:val="right"/>
              <w:rPr>
                <w:rFonts w:ascii="Arial" w:hAnsi="Arial" w:cs="Arial"/>
                <w:sz w:val="20"/>
                <w:szCs w:val="20"/>
              </w:rPr>
            </w:pPr>
            <w:r w:rsidRPr="0065019D">
              <w:t>2,659</w:t>
            </w:r>
          </w:p>
        </w:tc>
        <w:tc>
          <w:tcPr>
            <w:tcW w:w="1013" w:type="dxa"/>
            <w:tcBorders>
              <w:top w:val="nil"/>
              <w:left w:val="nil"/>
              <w:bottom w:val="nil"/>
              <w:right w:val="nil"/>
            </w:tcBorders>
            <w:shd w:val="clear" w:color="auto" w:fill="DEEAF6" w:themeFill="accent1" w:themeFillTint="33"/>
            <w:vAlign w:val="center"/>
          </w:tcPr>
          <w:p w14:paraId="26BF40EC" w14:textId="532AEC37" w:rsidR="003F321A" w:rsidRPr="000A1E2F" w:rsidRDefault="003F321A" w:rsidP="009E62B4">
            <w:pPr>
              <w:spacing w:line="252" w:lineRule="auto"/>
              <w:ind w:right="195"/>
              <w:jc w:val="right"/>
              <w:rPr>
                <w:rFonts w:ascii="Arial" w:hAnsi="Arial" w:cs="Arial"/>
                <w:sz w:val="20"/>
                <w:szCs w:val="20"/>
              </w:rPr>
            </w:pPr>
            <w:r w:rsidRPr="0065019D">
              <w:t>8.8%</w:t>
            </w:r>
          </w:p>
        </w:tc>
      </w:tr>
      <w:tr w:rsidR="00B170CC" w:rsidRPr="000A1E2F" w14:paraId="3D026617" w14:textId="77777777" w:rsidTr="009E62B4">
        <w:trPr>
          <w:trHeight w:val="150"/>
        </w:trPr>
        <w:tc>
          <w:tcPr>
            <w:tcW w:w="4330" w:type="dxa"/>
            <w:gridSpan w:val="5"/>
            <w:tcBorders>
              <w:top w:val="nil"/>
              <w:left w:val="nil"/>
              <w:bottom w:val="nil"/>
              <w:right w:val="nil"/>
            </w:tcBorders>
            <w:shd w:val="clear" w:color="auto" w:fill="auto"/>
            <w:tcMar>
              <w:top w:w="0" w:type="dxa"/>
              <w:left w:w="108" w:type="dxa"/>
              <w:bottom w:w="0" w:type="dxa"/>
              <w:right w:w="108" w:type="dxa"/>
            </w:tcMar>
            <w:vAlign w:val="center"/>
          </w:tcPr>
          <w:p w14:paraId="7E23C325" w14:textId="77777777" w:rsidR="00B170CC" w:rsidRPr="004F022E" w:rsidRDefault="00B170CC" w:rsidP="009E62B4">
            <w:pPr>
              <w:spacing w:line="252" w:lineRule="auto"/>
              <w:ind w:right="270"/>
              <w:rPr>
                <w:rFonts w:ascii="Arial" w:hAnsi="Arial" w:cs="Arial"/>
                <w:sz w:val="16"/>
                <w:szCs w:val="16"/>
              </w:rPr>
            </w:pPr>
          </w:p>
        </w:tc>
      </w:tr>
      <w:tr w:rsidR="00B170CC" w:rsidRPr="000A1E2F" w14:paraId="224CB845" w14:textId="77777777" w:rsidTr="009E62B4">
        <w:trPr>
          <w:trHeight w:val="360"/>
        </w:trPr>
        <w:tc>
          <w:tcPr>
            <w:tcW w:w="4330" w:type="dxa"/>
            <w:gridSpan w:val="5"/>
            <w:tcBorders>
              <w:top w:val="nil"/>
              <w:left w:val="nil"/>
              <w:bottom w:val="nil"/>
              <w:right w:val="nil"/>
            </w:tcBorders>
            <w:shd w:val="clear" w:color="auto" w:fill="auto"/>
            <w:tcMar>
              <w:top w:w="0" w:type="dxa"/>
              <w:left w:w="108" w:type="dxa"/>
              <w:bottom w:w="0" w:type="dxa"/>
              <w:right w:w="108" w:type="dxa"/>
            </w:tcMar>
            <w:vAlign w:val="center"/>
          </w:tcPr>
          <w:p w14:paraId="20135FBE" w14:textId="0F6B67A4" w:rsidR="00B170CC" w:rsidRPr="000A1E2F" w:rsidRDefault="003F321A" w:rsidP="009E62B4">
            <w:pPr>
              <w:spacing w:line="252" w:lineRule="auto"/>
              <w:ind w:left="-105" w:right="270"/>
              <w:rPr>
                <w:rFonts w:ascii="Arial" w:hAnsi="Arial" w:cs="Arial"/>
                <w:sz w:val="20"/>
                <w:szCs w:val="20"/>
              </w:rPr>
            </w:pPr>
            <w:r>
              <w:rPr>
                <w:rFonts w:ascii="Arial" w:hAnsi="Arial" w:cs="Arial"/>
                <w:b/>
                <w:sz w:val="20"/>
                <w:szCs w:val="20"/>
              </w:rPr>
              <w:t>2021</w:t>
            </w:r>
            <w:r w:rsidR="00B170CC" w:rsidRPr="000A1E2F">
              <w:rPr>
                <w:rFonts w:ascii="Arial" w:hAnsi="Arial" w:cs="Arial"/>
                <w:b/>
                <w:sz w:val="20"/>
                <w:szCs w:val="20"/>
              </w:rPr>
              <w:t xml:space="preserve"> Sales</w:t>
            </w:r>
            <w:r w:rsidR="00B170CC" w:rsidRPr="000A1E2F">
              <w:rPr>
                <w:rFonts w:ascii="Arial" w:hAnsi="Arial" w:cs="Arial"/>
                <w:bCs/>
                <w:sz w:val="20"/>
                <w:szCs w:val="20"/>
              </w:rPr>
              <w:t>*</w:t>
            </w:r>
          </w:p>
        </w:tc>
      </w:tr>
      <w:tr w:rsidR="00B170CC" w:rsidRPr="000A1E2F" w14:paraId="2B85D657" w14:textId="77777777" w:rsidTr="009E62B4">
        <w:trPr>
          <w:trHeight w:val="288"/>
        </w:trPr>
        <w:tc>
          <w:tcPr>
            <w:tcW w:w="1456" w:type="dxa"/>
            <w:tcBorders>
              <w:top w:val="nil"/>
              <w:left w:val="nil"/>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7445E40A" w14:textId="77777777" w:rsidR="00B170CC" w:rsidRPr="000A1E2F" w:rsidRDefault="00B170CC" w:rsidP="009E62B4">
            <w:pPr>
              <w:spacing w:line="252" w:lineRule="auto"/>
              <w:ind w:left="62" w:right="100"/>
              <w:jc w:val="center"/>
              <w:rPr>
                <w:rFonts w:ascii="Arial" w:hAnsi="Arial" w:cs="Arial"/>
                <w:b/>
                <w:sz w:val="20"/>
                <w:szCs w:val="20"/>
              </w:rPr>
            </w:pPr>
            <w:r w:rsidRPr="000A1E2F">
              <w:rPr>
                <w:rFonts w:ascii="Arial" w:hAnsi="Arial" w:cs="Arial"/>
                <w:b/>
                <w:color w:val="FFFFFF" w:themeColor="background1"/>
                <w:sz w:val="20"/>
                <w:szCs w:val="20"/>
              </w:rPr>
              <w:t>County</w:t>
            </w:r>
          </w:p>
        </w:tc>
        <w:tc>
          <w:tcPr>
            <w:tcW w:w="939" w:type="dxa"/>
            <w:gridSpan w:val="2"/>
            <w:tcBorders>
              <w:top w:val="nil"/>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384A3D95" w14:textId="77777777" w:rsidR="00B170CC" w:rsidRPr="000A1E2F" w:rsidRDefault="00B170CC" w:rsidP="009E62B4">
            <w:pPr>
              <w:spacing w:line="252" w:lineRule="auto"/>
              <w:ind w:left="44" w:right="62"/>
              <w:jc w:val="center"/>
              <w:rPr>
                <w:rFonts w:ascii="Arial" w:hAnsi="Arial" w:cs="Arial"/>
                <w:color w:val="FFFFFF" w:themeColor="background1"/>
                <w:sz w:val="20"/>
                <w:szCs w:val="20"/>
              </w:rPr>
            </w:pPr>
            <w:r w:rsidRPr="000A1E2F">
              <w:rPr>
                <w:rFonts w:ascii="Arial" w:hAnsi="Arial" w:cs="Arial"/>
                <w:color w:val="FFFFFF" w:themeColor="background1"/>
                <w:sz w:val="20"/>
                <w:szCs w:val="20"/>
              </w:rPr>
              <w:t>2020</w:t>
            </w:r>
          </w:p>
        </w:tc>
        <w:tc>
          <w:tcPr>
            <w:tcW w:w="922" w:type="dxa"/>
            <w:tcBorders>
              <w:top w:val="nil"/>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132950FA" w14:textId="77777777" w:rsidR="00B170CC" w:rsidRPr="000A1E2F" w:rsidRDefault="00B170CC" w:rsidP="009E62B4">
            <w:pPr>
              <w:spacing w:line="252" w:lineRule="auto"/>
              <w:ind w:right="-23"/>
              <w:jc w:val="center"/>
              <w:rPr>
                <w:rFonts w:ascii="Arial" w:hAnsi="Arial" w:cs="Arial"/>
                <w:color w:val="FFFFFF" w:themeColor="background1"/>
                <w:sz w:val="20"/>
                <w:szCs w:val="20"/>
              </w:rPr>
            </w:pPr>
            <w:r w:rsidRPr="000A1E2F">
              <w:rPr>
                <w:rFonts w:ascii="Arial" w:hAnsi="Arial" w:cs="Arial"/>
                <w:color w:val="FFFFFF" w:themeColor="background1"/>
                <w:sz w:val="20"/>
                <w:szCs w:val="20"/>
              </w:rPr>
              <w:t>2021</w:t>
            </w:r>
          </w:p>
        </w:tc>
        <w:tc>
          <w:tcPr>
            <w:tcW w:w="1013" w:type="dxa"/>
            <w:tcBorders>
              <w:top w:val="nil"/>
              <w:left w:val="single" w:sz="12" w:space="0" w:color="FFFFFF" w:themeColor="background1"/>
              <w:bottom w:val="nil"/>
              <w:right w:val="nil"/>
            </w:tcBorders>
            <w:shd w:val="clear" w:color="auto" w:fill="1F4E79" w:themeFill="accent1" w:themeFillShade="80"/>
            <w:vAlign w:val="center"/>
          </w:tcPr>
          <w:p w14:paraId="3314441D" w14:textId="77777777" w:rsidR="00B170CC" w:rsidRPr="000A1E2F" w:rsidRDefault="00B170CC" w:rsidP="009E62B4">
            <w:pPr>
              <w:spacing w:line="252" w:lineRule="auto"/>
              <w:ind w:right="60"/>
              <w:jc w:val="center"/>
              <w:rPr>
                <w:rFonts w:ascii="Arial" w:hAnsi="Arial" w:cs="Arial"/>
                <w:sz w:val="20"/>
                <w:szCs w:val="20"/>
              </w:rPr>
            </w:pPr>
            <w:r w:rsidRPr="000A1E2F">
              <w:rPr>
                <w:rFonts w:ascii="Arial" w:hAnsi="Arial" w:cs="Arial"/>
                <w:color w:val="FFFFFF" w:themeColor="background1"/>
                <w:sz w:val="20"/>
                <w:szCs w:val="20"/>
              </w:rPr>
              <w:t>% Change</w:t>
            </w:r>
          </w:p>
        </w:tc>
      </w:tr>
      <w:tr w:rsidR="003F321A" w:rsidRPr="000A1E2F" w14:paraId="6D4A8DB7" w14:textId="77777777" w:rsidTr="009E62B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14:paraId="487C9E39" w14:textId="77777777" w:rsidR="003F321A" w:rsidRPr="000A1E2F" w:rsidRDefault="003F321A" w:rsidP="009E62B4">
            <w:pPr>
              <w:spacing w:line="252" w:lineRule="auto"/>
              <w:ind w:left="62" w:right="100"/>
              <w:rPr>
                <w:rFonts w:ascii="Arial" w:hAnsi="Arial" w:cs="Arial"/>
                <w:b/>
                <w:color w:val="FFFFFF" w:themeColor="background1"/>
                <w:sz w:val="20"/>
                <w:szCs w:val="20"/>
              </w:rPr>
            </w:pPr>
            <w:r w:rsidRPr="000A1E2F">
              <w:rPr>
                <w:rFonts w:ascii="Arial" w:hAnsi="Arial" w:cs="Arial"/>
                <w:sz w:val="20"/>
                <w:szCs w:val="20"/>
              </w:rPr>
              <w:t>Milwaukee</w:t>
            </w:r>
          </w:p>
        </w:tc>
        <w:tc>
          <w:tcPr>
            <w:tcW w:w="939" w:type="dxa"/>
            <w:gridSpan w:val="2"/>
            <w:tcBorders>
              <w:top w:val="nil"/>
              <w:left w:val="nil"/>
              <w:bottom w:val="nil"/>
              <w:right w:val="nil"/>
            </w:tcBorders>
            <w:shd w:val="clear" w:color="auto" w:fill="auto"/>
            <w:tcMar>
              <w:top w:w="0" w:type="dxa"/>
              <w:left w:w="108" w:type="dxa"/>
              <w:bottom w:w="0" w:type="dxa"/>
              <w:right w:w="108" w:type="dxa"/>
            </w:tcMar>
            <w:vAlign w:val="center"/>
          </w:tcPr>
          <w:p w14:paraId="6FCEC9A5" w14:textId="674FFE70" w:rsidR="003F321A" w:rsidRPr="000A1E2F" w:rsidRDefault="003F321A" w:rsidP="009E62B4">
            <w:pPr>
              <w:spacing w:line="252" w:lineRule="auto"/>
              <w:ind w:left="44" w:right="62"/>
              <w:jc w:val="right"/>
              <w:rPr>
                <w:rFonts w:ascii="Arial" w:hAnsi="Arial" w:cs="Arial"/>
                <w:sz w:val="20"/>
                <w:szCs w:val="20"/>
              </w:rPr>
            </w:pPr>
            <w:r w:rsidRPr="00F34C75">
              <w:t xml:space="preserve">12,327 </w:t>
            </w:r>
          </w:p>
        </w:tc>
        <w:tc>
          <w:tcPr>
            <w:tcW w:w="922" w:type="dxa"/>
            <w:tcBorders>
              <w:top w:val="nil"/>
              <w:left w:val="nil"/>
              <w:bottom w:val="nil"/>
              <w:right w:val="nil"/>
            </w:tcBorders>
            <w:shd w:val="clear" w:color="auto" w:fill="auto"/>
            <w:tcMar>
              <w:top w:w="0" w:type="dxa"/>
              <w:left w:w="108" w:type="dxa"/>
              <w:bottom w:w="0" w:type="dxa"/>
              <w:right w:w="108" w:type="dxa"/>
            </w:tcMar>
            <w:vAlign w:val="center"/>
          </w:tcPr>
          <w:p w14:paraId="6B1AB015" w14:textId="437D9455" w:rsidR="003F321A" w:rsidRPr="000A1E2F" w:rsidRDefault="003F321A" w:rsidP="009E62B4">
            <w:pPr>
              <w:spacing w:line="252" w:lineRule="auto"/>
              <w:ind w:right="-23"/>
              <w:jc w:val="right"/>
              <w:rPr>
                <w:rFonts w:ascii="Arial" w:hAnsi="Arial" w:cs="Arial"/>
                <w:sz w:val="20"/>
                <w:szCs w:val="20"/>
              </w:rPr>
            </w:pPr>
            <w:r w:rsidRPr="00F34C75">
              <w:t xml:space="preserve"> 13,809 </w:t>
            </w:r>
          </w:p>
        </w:tc>
        <w:tc>
          <w:tcPr>
            <w:tcW w:w="1013" w:type="dxa"/>
            <w:tcBorders>
              <w:top w:val="nil"/>
              <w:left w:val="nil"/>
              <w:bottom w:val="nil"/>
              <w:right w:val="nil"/>
            </w:tcBorders>
            <w:shd w:val="clear" w:color="auto" w:fill="auto"/>
            <w:vAlign w:val="center"/>
          </w:tcPr>
          <w:p w14:paraId="79E1FA41" w14:textId="5E7B6330" w:rsidR="003F321A" w:rsidRPr="000A1E2F" w:rsidRDefault="003F321A" w:rsidP="009E62B4">
            <w:pPr>
              <w:spacing w:line="252" w:lineRule="auto"/>
              <w:ind w:right="195"/>
              <w:jc w:val="right"/>
              <w:rPr>
                <w:rFonts w:ascii="Arial" w:hAnsi="Arial" w:cs="Arial"/>
                <w:sz w:val="20"/>
                <w:szCs w:val="20"/>
              </w:rPr>
            </w:pPr>
            <w:r w:rsidRPr="00F34C75">
              <w:t>12.0%</w:t>
            </w:r>
          </w:p>
        </w:tc>
      </w:tr>
      <w:tr w:rsidR="003F321A" w:rsidRPr="000A1E2F" w14:paraId="3CCC6BAF" w14:textId="77777777" w:rsidTr="009E62B4">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02B9A4B"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Waukesha</w:t>
            </w:r>
          </w:p>
        </w:tc>
        <w:tc>
          <w:tcPr>
            <w:tcW w:w="93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3CB0FFC" w14:textId="11F00D53" w:rsidR="003F321A" w:rsidRPr="000A1E2F" w:rsidRDefault="003F321A" w:rsidP="009E62B4">
            <w:pPr>
              <w:spacing w:line="252" w:lineRule="auto"/>
              <w:ind w:left="44" w:right="62"/>
              <w:jc w:val="right"/>
              <w:rPr>
                <w:rFonts w:ascii="Arial" w:hAnsi="Arial" w:cs="Arial"/>
                <w:sz w:val="20"/>
                <w:szCs w:val="20"/>
              </w:rPr>
            </w:pPr>
            <w:r w:rsidRPr="00F34C75">
              <w:t xml:space="preserve"> 6,445 </w:t>
            </w:r>
          </w:p>
        </w:tc>
        <w:tc>
          <w:tcPr>
            <w:tcW w:w="92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030D6C5" w14:textId="34297485" w:rsidR="003F321A" w:rsidRPr="000A1E2F" w:rsidRDefault="003F321A" w:rsidP="009E62B4">
            <w:pPr>
              <w:spacing w:line="252" w:lineRule="auto"/>
              <w:ind w:right="-23"/>
              <w:jc w:val="right"/>
              <w:rPr>
                <w:rFonts w:ascii="Arial" w:hAnsi="Arial" w:cs="Arial"/>
                <w:sz w:val="20"/>
                <w:szCs w:val="20"/>
              </w:rPr>
            </w:pPr>
            <w:r w:rsidRPr="00F34C75">
              <w:t xml:space="preserve"> 6,343 </w:t>
            </w:r>
          </w:p>
        </w:tc>
        <w:tc>
          <w:tcPr>
            <w:tcW w:w="1013" w:type="dxa"/>
            <w:tcBorders>
              <w:top w:val="nil"/>
              <w:left w:val="nil"/>
              <w:bottom w:val="nil"/>
              <w:right w:val="nil"/>
            </w:tcBorders>
            <w:shd w:val="clear" w:color="auto" w:fill="DEEAF6" w:themeFill="accent1" w:themeFillTint="33"/>
            <w:vAlign w:val="center"/>
          </w:tcPr>
          <w:p w14:paraId="0CABFB17" w14:textId="6B663408" w:rsidR="003F321A" w:rsidRPr="000A1E2F" w:rsidRDefault="003F321A" w:rsidP="009E62B4">
            <w:pPr>
              <w:spacing w:line="252" w:lineRule="auto"/>
              <w:ind w:right="195"/>
              <w:jc w:val="right"/>
              <w:rPr>
                <w:rFonts w:ascii="Arial" w:hAnsi="Arial" w:cs="Arial"/>
                <w:sz w:val="20"/>
                <w:szCs w:val="20"/>
              </w:rPr>
            </w:pPr>
            <w:r w:rsidRPr="00F34C75">
              <w:t>-1.6%</w:t>
            </w:r>
          </w:p>
        </w:tc>
      </w:tr>
      <w:tr w:rsidR="003F321A" w:rsidRPr="000A1E2F" w14:paraId="346EA0A9" w14:textId="77777777" w:rsidTr="009E62B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14:paraId="094BF99C"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Washington</w:t>
            </w:r>
          </w:p>
        </w:tc>
        <w:tc>
          <w:tcPr>
            <w:tcW w:w="939" w:type="dxa"/>
            <w:gridSpan w:val="2"/>
            <w:tcBorders>
              <w:top w:val="nil"/>
              <w:left w:val="nil"/>
              <w:bottom w:val="nil"/>
              <w:right w:val="nil"/>
            </w:tcBorders>
            <w:shd w:val="clear" w:color="auto" w:fill="auto"/>
            <w:tcMar>
              <w:top w:w="0" w:type="dxa"/>
              <w:left w:w="108" w:type="dxa"/>
              <w:bottom w:w="0" w:type="dxa"/>
              <w:right w:w="108" w:type="dxa"/>
            </w:tcMar>
            <w:vAlign w:val="center"/>
          </w:tcPr>
          <w:p w14:paraId="42B391C4" w14:textId="1EDB9A02" w:rsidR="003F321A" w:rsidRPr="000A1E2F" w:rsidRDefault="003F321A" w:rsidP="009E62B4">
            <w:pPr>
              <w:spacing w:line="252" w:lineRule="auto"/>
              <w:ind w:left="44" w:right="62"/>
              <w:jc w:val="right"/>
              <w:rPr>
                <w:rFonts w:ascii="Arial" w:hAnsi="Arial" w:cs="Arial"/>
                <w:sz w:val="20"/>
                <w:szCs w:val="20"/>
              </w:rPr>
            </w:pPr>
            <w:r w:rsidRPr="00F34C75">
              <w:t xml:space="preserve"> 2,173 </w:t>
            </w:r>
          </w:p>
        </w:tc>
        <w:tc>
          <w:tcPr>
            <w:tcW w:w="922" w:type="dxa"/>
            <w:tcBorders>
              <w:top w:val="nil"/>
              <w:left w:val="nil"/>
              <w:bottom w:val="nil"/>
              <w:right w:val="nil"/>
            </w:tcBorders>
            <w:shd w:val="clear" w:color="auto" w:fill="auto"/>
            <w:tcMar>
              <w:top w:w="0" w:type="dxa"/>
              <w:left w:w="108" w:type="dxa"/>
              <w:bottom w:w="0" w:type="dxa"/>
              <w:right w:w="108" w:type="dxa"/>
            </w:tcMar>
            <w:vAlign w:val="center"/>
          </w:tcPr>
          <w:p w14:paraId="7DEBD99A" w14:textId="1E6CE0BF" w:rsidR="003F321A" w:rsidRPr="000A1E2F" w:rsidRDefault="003F321A" w:rsidP="009E62B4">
            <w:pPr>
              <w:spacing w:line="252" w:lineRule="auto"/>
              <w:ind w:right="-23"/>
              <w:jc w:val="right"/>
              <w:rPr>
                <w:rFonts w:ascii="Arial" w:hAnsi="Arial" w:cs="Arial"/>
                <w:sz w:val="20"/>
                <w:szCs w:val="20"/>
              </w:rPr>
            </w:pPr>
            <w:r w:rsidRPr="00F34C75">
              <w:t xml:space="preserve"> 2,234 </w:t>
            </w:r>
          </w:p>
        </w:tc>
        <w:tc>
          <w:tcPr>
            <w:tcW w:w="1013" w:type="dxa"/>
            <w:tcBorders>
              <w:top w:val="nil"/>
              <w:left w:val="nil"/>
              <w:bottom w:val="nil"/>
              <w:right w:val="nil"/>
            </w:tcBorders>
            <w:shd w:val="clear" w:color="auto" w:fill="auto"/>
            <w:vAlign w:val="center"/>
          </w:tcPr>
          <w:p w14:paraId="5C07DB22" w14:textId="011BAFBF" w:rsidR="003F321A" w:rsidRPr="000A1E2F" w:rsidRDefault="003F321A" w:rsidP="009E62B4">
            <w:pPr>
              <w:spacing w:line="252" w:lineRule="auto"/>
              <w:ind w:right="195"/>
              <w:jc w:val="right"/>
              <w:rPr>
                <w:rFonts w:ascii="Arial" w:hAnsi="Arial" w:cs="Arial"/>
                <w:sz w:val="20"/>
                <w:szCs w:val="20"/>
              </w:rPr>
            </w:pPr>
            <w:r w:rsidRPr="00F34C75">
              <w:t>2.8%</w:t>
            </w:r>
          </w:p>
        </w:tc>
      </w:tr>
      <w:tr w:rsidR="003F321A" w:rsidRPr="000A1E2F" w14:paraId="169D5013" w14:textId="77777777" w:rsidTr="009E62B4">
        <w:trPr>
          <w:trHeight w:val="288"/>
        </w:trPr>
        <w:tc>
          <w:tcPr>
            <w:tcW w:w="1456"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13165029"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Ozaukee</w:t>
            </w:r>
          </w:p>
        </w:tc>
        <w:tc>
          <w:tcPr>
            <w:tcW w:w="93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5A0DE36C" w14:textId="786F21EF" w:rsidR="003F321A" w:rsidRPr="000A1E2F" w:rsidRDefault="003F321A" w:rsidP="009E62B4">
            <w:pPr>
              <w:spacing w:line="252" w:lineRule="auto"/>
              <w:ind w:left="44" w:right="62"/>
              <w:jc w:val="right"/>
              <w:rPr>
                <w:rFonts w:ascii="Arial" w:hAnsi="Arial" w:cs="Arial"/>
                <w:sz w:val="20"/>
                <w:szCs w:val="20"/>
              </w:rPr>
            </w:pPr>
            <w:r w:rsidRPr="00F34C75">
              <w:t xml:space="preserve"> 1,500 </w:t>
            </w:r>
          </w:p>
        </w:tc>
        <w:tc>
          <w:tcPr>
            <w:tcW w:w="92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61DA9EB8" w14:textId="7297B965" w:rsidR="003F321A" w:rsidRPr="000A1E2F" w:rsidRDefault="003F321A" w:rsidP="009E62B4">
            <w:pPr>
              <w:spacing w:line="252" w:lineRule="auto"/>
              <w:ind w:right="-23"/>
              <w:jc w:val="right"/>
              <w:rPr>
                <w:rFonts w:ascii="Arial" w:hAnsi="Arial" w:cs="Arial"/>
                <w:sz w:val="20"/>
                <w:szCs w:val="20"/>
              </w:rPr>
            </w:pPr>
            <w:r w:rsidRPr="00F34C75">
              <w:t xml:space="preserve"> 1,441 </w:t>
            </w:r>
          </w:p>
        </w:tc>
        <w:tc>
          <w:tcPr>
            <w:tcW w:w="1013" w:type="dxa"/>
            <w:tcBorders>
              <w:top w:val="nil"/>
              <w:left w:val="nil"/>
              <w:bottom w:val="nil"/>
              <w:right w:val="nil"/>
            </w:tcBorders>
            <w:shd w:val="clear" w:color="auto" w:fill="DEEAF6" w:themeFill="accent1" w:themeFillTint="33"/>
            <w:vAlign w:val="center"/>
          </w:tcPr>
          <w:p w14:paraId="1B07D5AF" w14:textId="231AB588" w:rsidR="003F321A" w:rsidRPr="000A1E2F" w:rsidRDefault="003F321A" w:rsidP="009E62B4">
            <w:pPr>
              <w:spacing w:line="252" w:lineRule="auto"/>
              <w:ind w:right="195"/>
              <w:jc w:val="right"/>
              <w:rPr>
                <w:rFonts w:ascii="Arial" w:hAnsi="Arial" w:cs="Arial"/>
                <w:sz w:val="20"/>
                <w:szCs w:val="20"/>
              </w:rPr>
            </w:pPr>
            <w:r w:rsidRPr="00F34C75">
              <w:t>-3.9%</w:t>
            </w:r>
          </w:p>
        </w:tc>
      </w:tr>
      <w:tr w:rsidR="003F321A" w:rsidRPr="000A1E2F" w14:paraId="4EEDD1AA" w14:textId="77777777" w:rsidTr="009E62B4">
        <w:trPr>
          <w:trHeight w:val="288"/>
        </w:trPr>
        <w:tc>
          <w:tcPr>
            <w:tcW w:w="1456"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2C15B6E7"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Metro Area</w:t>
            </w:r>
          </w:p>
        </w:tc>
        <w:tc>
          <w:tcPr>
            <w:tcW w:w="939"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58169921" w14:textId="07D65565" w:rsidR="003F321A" w:rsidRPr="000A1E2F" w:rsidRDefault="003F321A" w:rsidP="009E62B4">
            <w:pPr>
              <w:spacing w:line="252" w:lineRule="auto"/>
              <w:ind w:left="44" w:right="62"/>
              <w:jc w:val="right"/>
              <w:rPr>
                <w:rFonts w:ascii="Arial" w:hAnsi="Arial" w:cs="Arial"/>
                <w:sz w:val="20"/>
                <w:szCs w:val="20"/>
              </w:rPr>
            </w:pPr>
            <w:r w:rsidRPr="00F34C75">
              <w:t xml:space="preserve">22,445 </w:t>
            </w:r>
          </w:p>
        </w:tc>
        <w:tc>
          <w:tcPr>
            <w:tcW w:w="922"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75FD5F53" w14:textId="4FB5AC21" w:rsidR="003F321A" w:rsidRPr="000A1E2F" w:rsidRDefault="003F321A" w:rsidP="009E62B4">
            <w:pPr>
              <w:spacing w:line="252" w:lineRule="auto"/>
              <w:ind w:right="-23"/>
              <w:jc w:val="right"/>
              <w:rPr>
                <w:rFonts w:ascii="Arial" w:hAnsi="Arial" w:cs="Arial"/>
                <w:sz w:val="20"/>
                <w:szCs w:val="20"/>
              </w:rPr>
            </w:pPr>
            <w:r w:rsidRPr="00F34C75">
              <w:t xml:space="preserve"> 23,827 </w:t>
            </w:r>
          </w:p>
        </w:tc>
        <w:tc>
          <w:tcPr>
            <w:tcW w:w="1013" w:type="dxa"/>
            <w:tcBorders>
              <w:top w:val="nil"/>
              <w:left w:val="nil"/>
              <w:bottom w:val="nil"/>
              <w:right w:val="nil"/>
            </w:tcBorders>
            <w:shd w:val="clear" w:color="auto" w:fill="auto"/>
            <w:vAlign w:val="center"/>
          </w:tcPr>
          <w:p w14:paraId="143EF947" w14:textId="1FD27144" w:rsidR="003F321A" w:rsidRPr="000A1E2F" w:rsidRDefault="003F321A" w:rsidP="009E62B4">
            <w:pPr>
              <w:spacing w:line="252" w:lineRule="auto"/>
              <w:ind w:right="195"/>
              <w:jc w:val="right"/>
              <w:rPr>
                <w:rFonts w:ascii="Arial" w:hAnsi="Arial" w:cs="Arial"/>
                <w:sz w:val="20"/>
                <w:szCs w:val="20"/>
              </w:rPr>
            </w:pPr>
            <w:r w:rsidRPr="00F34C75">
              <w:t>6.2%</w:t>
            </w:r>
          </w:p>
        </w:tc>
      </w:tr>
      <w:tr w:rsidR="009E2EEB" w:rsidRPr="000A1E2F" w14:paraId="22A1A82E" w14:textId="77777777" w:rsidTr="009E62B4">
        <w:trPr>
          <w:trHeight w:val="80"/>
        </w:trPr>
        <w:tc>
          <w:tcPr>
            <w:tcW w:w="4330" w:type="dxa"/>
            <w:gridSpan w:val="5"/>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4913B6E" w14:textId="77777777" w:rsidR="009E2EEB" w:rsidRPr="000A1E2F" w:rsidRDefault="009E2EEB" w:rsidP="009E62B4">
            <w:pPr>
              <w:spacing w:line="252" w:lineRule="auto"/>
              <w:ind w:right="195"/>
              <w:jc w:val="right"/>
              <w:rPr>
                <w:rFonts w:ascii="Arial" w:hAnsi="Arial" w:cs="Arial"/>
                <w:sz w:val="10"/>
                <w:szCs w:val="10"/>
              </w:rPr>
            </w:pPr>
          </w:p>
        </w:tc>
      </w:tr>
      <w:tr w:rsidR="003F321A" w:rsidRPr="000A1E2F" w14:paraId="0163DC89" w14:textId="77777777" w:rsidTr="009E62B4">
        <w:trPr>
          <w:trHeight w:val="288"/>
        </w:trPr>
        <w:tc>
          <w:tcPr>
            <w:tcW w:w="1456" w:type="dxa"/>
            <w:tcBorders>
              <w:top w:val="nil"/>
              <w:left w:val="nil"/>
              <w:bottom w:val="nil"/>
              <w:right w:val="nil"/>
            </w:tcBorders>
            <w:shd w:val="clear" w:color="auto" w:fill="auto"/>
            <w:tcMar>
              <w:top w:w="0" w:type="dxa"/>
              <w:left w:w="108" w:type="dxa"/>
              <w:bottom w:w="0" w:type="dxa"/>
              <w:right w:w="108" w:type="dxa"/>
            </w:tcMar>
            <w:vAlign w:val="center"/>
          </w:tcPr>
          <w:p w14:paraId="2EBDAF8C"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Racine</w:t>
            </w:r>
          </w:p>
        </w:tc>
        <w:tc>
          <w:tcPr>
            <w:tcW w:w="939" w:type="dxa"/>
            <w:gridSpan w:val="2"/>
            <w:tcBorders>
              <w:top w:val="nil"/>
              <w:left w:val="nil"/>
              <w:bottom w:val="nil"/>
              <w:right w:val="nil"/>
            </w:tcBorders>
            <w:shd w:val="clear" w:color="auto" w:fill="auto"/>
            <w:tcMar>
              <w:top w:w="0" w:type="dxa"/>
              <w:left w:w="108" w:type="dxa"/>
              <w:bottom w:w="0" w:type="dxa"/>
              <w:right w:w="108" w:type="dxa"/>
            </w:tcMar>
            <w:vAlign w:val="center"/>
          </w:tcPr>
          <w:p w14:paraId="3E046899" w14:textId="01A632C7" w:rsidR="003F321A" w:rsidRPr="000A1E2F" w:rsidRDefault="003F321A" w:rsidP="009E62B4">
            <w:pPr>
              <w:spacing w:line="252" w:lineRule="auto"/>
              <w:ind w:left="44" w:right="62"/>
              <w:jc w:val="right"/>
              <w:rPr>
                <w:rFonts w:ascii="Arial" w:hAnsi="Arial" w:cs="Arial"/>
                <w:sz w:val="20"/>
                <w:szCs w:val="20"/>
              </w:rPr>
            </w:pPr>
            <w:r w:rsidRPr="00573D53">
              <w:t xml:space="preserve"> 3,096 </w:t>
            </w:r>
          </w:p>
        </w:tc>
        <w:tc>
          <w:tcPr>
            <w:tcW w:w="922" w:type="dxa"/>
            <w:tcBorders>
              <w:top w:val="nil"/>
              <w:left w:val="nil"/>
              <w:bottom w:val="nil"/>
              <w:right w:val="nil"/>
            </w:tcBorders>
            <w:shd w:val="clear" w:color="auto" w:fill="auto"/>
            <w:tcMar>
              <w:top w:w="0" w:type="dxa"/>
              <w:left w:w="108" w:type="dxa"/>
              <w:bottom w:w="0" w:type="dxa"/>
              <w:right w:w="108" w:type="dxa"/>
            </w:tcMar>
            <w:vAlign w:val="center"/>
          </w:tcPr>
          <w:p w14:paraId="4A2D8E26" w14:textId="156E8DFE" w:rsidR="003F321A" w:rsidRPr="000A1E2F" w:rsidRDefault="003F321A" w:rsidP="009E62B4">
            <w:pPr>
              <w:spacing w:line="252" w:lineRule="auto"/>
              <w:ind w:right="-23"/>
              <w:jc w:val="right"/>
              <w:rPr>
                <w:rFonts w:ascii="Arial" w:hAnsi="Arial" w:cs="Arial"/>
                <w:sz w:val="20"/>
                <w:szCs w:val="20"/>
              </w:rPr>
            </w:pPr>
            <w:r w:rsidRPr="00573D53">
              <w:t xml:space="preserve"> 3,378 </w:t>
            </w:r>
          </w:p>
        </w:tc>
        <w:tc>
          <w:tcPr>
            <w:tcW w:w="1013" w:type="dxa"/>
            <w:tcBorders>
              <w:top w:val="nil"/>
              <w:left w:val="nil"/>
              <w:bottom w:val="nil"/>
              <w:right w:val="nil"/>
            </w:tcBorders>
            <w:shd w:val="clear" w:color="auto" w:fill="auto"/>
            <w:vAlign w:val="center"/>
          </w:tcPr>
          <w:p w14:paraId="50B3161B" w14:textId="2CC248C8" w:rsidR="003F321A" w:rsidRPr="000A1E2F" w:rsidRDefault="003F321A" w:rsidP="009E62B4">
            <w:pPr>
              <w:spacing w:line="252" w:lineRule="auto"/>
              <w:ind w:right="195"/>
              <w:jc w:val="right"/>
              <w:rPr>
                <w:rFonts w:ascii="Arial" w:hAnsi="Arial" w:cs="Arial"/>
                <w:sz w:val="20"/>
                <w:szCs w:val="20"/>
              </w:rPr>
            </w:pPr>
            <w:r w:rsidRPr="00573D53">
              <w:t>9.1%</w:t>
            </w:r>
          </w:p>
        </w:tc>
      </w:tr>
      <w:tr w:rsidR="003F321A" w:rsidRPr="000A1E2F" w14:paraId="5B407CBC" w14:textId="77777777" w:rsidTr="009E62B4">
        <w:trPr>
          <w:trHeight w:val="288"/>
        </w:trPr>
        <w:tc>
          <w:tcPr>
            <w:tcW w:w="1456"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F101543"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Kenosha</w:t>
            </w:r>
          </w:p>
        </w:tc>
        <w:tc>
          <w:tcPr>
            <w:tcW w:w="93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70C8C99" w14:textId="1FBDB51F" w:rsidR="003F321A" w:rsidRPr="000A1E2F" w:rsidRDefault="003F321A" w:rsidP="009E62B4">
            <w:pPr>
              <w:spacing w:line="252" w:lineRule="auto"/>
              <w:ind w:left="44" w:right="62"/>
              <w:jc w:val="right"/>
              <w:rPr>
                <w:rFonts w:ascii="Arial" w:hAnsi="Arial" w:cs="Arial"/>
                <w:sz w:val="20"/>
                <w:szCs w:val="20"/>
              </w:rPr>
            </w:pPr>
            <w:r w:rsidRPr="00573D53">
              <w:t xml:space="preserve"> 2,506 </w:t>
            </w:r>
          </w:p>
        </w:tc>
        <w:tc>
          <w:tcPr>
            <w:tcW w:w="92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77AA61F" w14:textId="0D41C97C" w:rsidR="003F321A" w:rsidRPr="000A1E2F" w:rsidRDefault="003F321A" w:rsidP="009E62B4">
            <w:pPr>
              <w:spacing w:line="252" w:lineRule="auto"/>
              <w:ind w:right="-23"/>
              <w:jc w:val="right"/>
              <w:rPr>
                <w:rFonts w:ascii="Arial" w:hAnsi="Arial" w:cs="Arial"/>
                <w:sz w:val="20"/>
                <w:szCs w:val="20"/>
              </w:rPr>
            </w:pPr>
            <w:r w:rsidRPr="00573D53">
              <w:t xml:space="preserve"> 2,655 </w:t>
            </w:r>
          </w:p>
        </w:tc>
        <w:tc>
          <w:tcPr>
            <w:tcW w:w="1013" w:type="dxa"/>
            <w:tcBorders>
              <w:top w:val="nil"/>
              <w:left w:val="nil"/>
              <w:bottom w:val="nil"/>
              <w:right w:val="nil"/>
            </w:tcBorders>
            <w:shd w:val="clear" w:color="auto" w:fill="DEEAF6" w:themeFill="accent1" w:themeFillTint="33"/>
            <w:vAlign w:val="center"/>
          </w:tcPr>
          <w:p w14:paraId="5743B340" w14:textId="0C9E4F52" w:rsidR="003F321A" w:rsidRPr="000A1E2F" w:rsidRDefault="003F321A" w:rsidP="009E62B4">
            <w:pPr>
              <w:spacing w:line="252" w:lineRule="auto"/>
              <w:ind w:right="195"/>
              <w:jc w:val="right"/>
              <w:rPr>
                <w:rFonts w:ascii="Arial" w:hAnsi="Arial" w:cs="Arial"/>
                <w:sz w:val="20"/>
                <w:szCs w:val="20"/>
              </w:rPr>
            </w:pPr>
            <w:r w:rsidRPr="00573D53">
              <w:t>5.9%</w:t>
            </w:r>
          </w:p>
        </w:tc>
      </w:tr>
      <w:tr w:rsidR="003F321A" w:rsidRPr="000A1E2F" w14:paraId="2FA23A80" w14:textId="77777777" w:rsidTr="009E62B4">
        <w:trPr>
          <w:trHeight w:val="288"/>
        </w:trPr>
        <w:tc>
          <w:tcPr>
            <w:tcW w:w="1456"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53FE1402"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Walworth</w:t>
            </w:r>
          </w:p>
        </w:tc>
        <w:tc>
          <w:tcPr>
            <w:tcW w:w="939"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55527727" w14:textId="606F485C" w:rsidR="003F321A" w:rsidRPr="000A1E2F" w:rsidRDefault="003F321A" w:rsidP="009E62B4">
            <w:pPr>
              <w:spacing w:line="252" w:lineRule="auto"/>
              <w:ind w:left="44" w:right="62"/>
              <w:jc w:val="right"/>
              <w:rPr>
                <w:rFonts w:ascii="Arial" w:hAnsi="Arial" w:cs="Arial"/>
                <w:sz w:val="20"/>
                <w:szCs w:val="20"/>
              </w:rPr>
            </w:pPr>
            <w:r w:rsidRPr="00573D53">
              <w:t xml:space="preserve"> 2,036 </w:t>
            </w:r>
          </w:p>
        </w:tc>
        <w:tc>
          <w:tcPr>
            <w:tcW w:w="92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57B1F89F" w14:textId="00ED8A76" w:rsidR="003F321A" w:rsidRPr="000A1E2F" w:rsidRDefault="003F321A" w:rsidP="009E62B4">
            <w:pPr>
              <w:spacing w:line="252" w:lineRule="auto"/>
              <w:ind w:right="-23"/>
              <w:jc w:val="right"/>
              <w:rPr>
                <w:rFonts w:ascii="Arial" w:hAnsi="Arial" w:cs="Arial"/>
                <w:sz w:val="20"/>
                <w:szCs w:val="20"/>
              </w:rPr>
            </w:pPr>
            <w:r w:rsidRPr="00573D53">
              <w:t xml:space="preserve"> 1,992 </w:t>
            </w:r>
          </w:p>
        </w:tc>
        <w:tc>
          <w:tcPr>
            <w:tcW w:w="1013" w:type="dxa"/>
            <w:tcBorders>
              <w:top w:val="nil"/>
              <w:left w:val="nil"/>
              <w:bottom w:val="nil"/>
              <w:right w:val="nil"/>
            </w:tcBorders>
            <w:shd w:val="clear" w:color="auto" w:fill="auto"/>
            <w:vAlign w:val="center"/>
          </w:tcPr>
          <w:p w14:paraId="619BC35A" w14:textId="0871A5DE" w:rsidR="003F321A" w:rsidRPr="000A1E2F" w:rsidRDefault="003F321A" w:rsidP="009E62B4">
            <w:pPr>
              <w:spacing w:line="252" w:lineRule="auto"/>
              <w:ind w:right="195"/>
              <w:jc w:val="right"/>
              <w:rPr>
                <w:rFonts w:ascii="Arial" w:hAnsi="Arial" w:cs="Arial"/>
                <w:sz w:val="20"/>
                <w:szCs w:val="20"/>
              </w:rPr>
            </w:pPr>
            <w:r w:rsidRPr="00573D53">
              <w:t>-2.2%</w:t>
            </w:r>
          </w:p>
        </w:tc>
      </w:tr>
      <w:tr w:rsidR="003F321A" w:rsidRPr="000A1E2F" w14:paraId="15B6C36F" w14:textId="77777777" w:rsidTr="009E62B4">
        <w:trPr>
          <w:trHeight w:val="288"/>
        </w:trPr>
        <w:tc>
          <w:tcPr>
            <w:tcW w:w="1456"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7DAAFC11" w14:textId="77777777" w:rsidR="003F321A" w:rsidRPr="000A1E2F" w:rsidRDefault="003F321A" w:rsidP="009E62B4">
            <w:pPr>
              <w:spacing w:line="252" w:lineRule="auto"/>
              <w:ind w:left="62" w:right="100"/>
              <w:rPr>
                <w:rFonts w:ascii="Arial" w:hAnsi="Arial" w:cs="Arial"/>
                <w:sz w:val="20"/>
                <w:szCs w:val="20"/>
              </w:rPr>
            </w:pPr>
            <w:r w:rsidRPr="000A1E2F">
              <w:rPr>
                <w:rFonts w:ascii="Arial" w:hAnsi="Arial" w:cs="Arial"/>
                <w:sz w:val="20"/>
                <w:szCs w:val="20"/>
              </w:rPr>
              <w:t>SE WI Area</w:t>
            </w:r>
          </w:p>
        </w:tc>
        <w:tc>
          <w:tcPr>
            <w:tcW w:w="93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23950187" w14:textId="11CE731F" w:rsidR="003F321A" w:rsidRPr="000A1E2F" w:rsidRDefault="003F321A" w:rsidP="009E62B4">
            <w:pPr>
              <w:spacing w:line="252" w:lineRule="auto"/>
              <w:ind w:left="44" w:right="62"/>
              <w:jc w:val="right"/>
              <w:rPr>
                <w:rFonts w:ascii="Arial" w:hAnsi="Arial" w:cs="Arial"/>
                <w:sz w:val="20"/>
                <w:szCs w:val="20"/>
              </w:rPr>
            </w:pPr>
            <w:r w:rsidRPr="00573D53">
              <w:t xml:space="preserve">30,083 </w:t>
            </w:r>
          </w:p>
        </w:tc>
        <w:tc>
          <w:tcPr>
            <w:tcW w:w="92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26685A82" w14:textId="7CD6144B" w:rsidR="003F321A" w:rsidRPr="000A1E2F" w:rsidRDefault="003F321A" w:rsidP="009E62B4">
            <w:pPr>
              <w:spacing w:line="252" w:lineRule="auto"/>
              <w:ind w:right="-23"/>
              <w:jc w:val="right"/>
              <w:rPr>
                <w:rFonts w:ascii="Arial" w:hAnsi="Arial" w:cs="Arial"/>
                <w:sz w:val="20"/>
                <w:szCs w:val="20"/>
              </w:rPr>
            </w:pPr>
            <w:r w:rsidRPr="00573D53">
              <w:t xml:space="preserve"> 31,852 </w:t>
            </w:r>
          </w:p>
        </w:tc>
        <w:tc>
          <w:tcPr>
            <w:tcW w:w="1013" w:type="dxa"/>
            <w:tcBorders>
              <w:top w:val="nil"/>
              <w:left w:val="nil"/>
              <w:bottom w:val="nil"/>
              <w:right w:val="nil"/>
            </w:tcBorders>
            <w:shd w:val="clear" w:color="auto" w:fill="DEEAF6" w:themeFill="accent1" w:themeFillTint="33"/>
            <w:vAlign w:val="center"/>
          </w:tcPr>
          <w:p w14:paraId="0C64E520" w14:textId="07CE5639" w:rsidR="003F321A" w:rsidRPr="000A1E2F" w:rsidRDefault="003F321A" w:rsidP="009E62B4">
            <w:pPr>
              <w:spacing w:line="252" w:lineRule="auto"/>
              <w:ind w:right="195"/>
              <w:jc w:val="right"/>
              <w:rPr>
                <w:rFonts w:ascii="Arial" w:hAnsi="Arial" w:cs="Arial"/>
                <w:sz w:val="20"/>
                <w:szCs w:val="20"/>
              </w:rPr>
            </w:pPr>
            <w:r w:rsidRPr="00573D53">
              <w:t>5.9%</w:t>
            </w:r>
          </w:p>
        </w:tc>
      </w:tr>
    </w:tbl>
    <w:p w14:paraId="7F2D578B" w14:textId="4F069DA0" w:rsidR="00E913B2" w:rsidRPr="000A1E2F" w:rsidRDefault="00E913B2" w:rsidP="000A1E2F">
      <w:pPr>
        <w:spacing w:before="120" w:after="120" w:line="300" w:lineRule="auto"/>
        <w:ind w:left="-360" w:right="-360"/>
        <w:contextualSpacing/>
        <w:rPr>
          <w:rFonts w:ascii="Arial" w:hAnsi="Arial" w:cs="Arial"/>
          <w:b/>
          <w:bCs/>
          <w:sz w:val="21"/>
          <w:szCs w:val="21"/>
          <w:u w:val="single"/>
        </w:rPr>
      </w:pPr>
      <w:r w:rsidRPr="000A1E2F">
        <w:rPr>
          <w:rFonts w:ascii="Arial" w:hAnsi="Arial" w:cs="Arial"/>
          <w:b/>
          <w:bCs/>
          <w:sz w:val="21"/>
          <w:szCs w:val="21"/>
          <w:u w:val="single"/>
        </w:rPr>
        <w:t>Market Summary</w:t>
      </w:r>
    </w:p>
    <w:p w14:paraId="1A9BD97B" w14:textId="215E289A" w:rsidR="009B7675" w:rsidRPr="000A1E2F" w:rsidRDefault="00376618" w:rsidP="000A1E2F">
      <w:pPr>
        <w:spacing w:before="120" w:after="120" w:line="300" w:lineRule="auto"/>
        <w:ind w:left="-360" w:right="-360"/>
        <w:contextualSpacing/>
        <w:rPr>
          <w:rFonts w:ascii="Arial" w:hAnsi="Arial" w:cs="Arial"/>
          <w:sz w:val="21"/>
          <w:szCs w:val="21"/>
        </w:rPr>
      </w:pPr>
      <w:r>
        <w:rPr>
          <w:rFonts w:ascii="Arial" w:hAnsi="Arial" w:cs="Arial"/>
          <w:sz w:val="21"/>
          <w:szCs w:val="21"/>
        </w:rPr>
        <w:t>For the second year in a row</w:t>
      </w:r>
      <w:r w:rsidR="00C01D83">
        <w:rPr>
          <w:rFonts w:ascii="Arial" w:hAnsi="Arial" w:cs="Arial"/>
          <w:sz w:val="21"/>
          <w:szCs w:val="21"/>
        </w:rPr>
        <w:t>,</w:t>
      </w:r>
      <w:r>
        <w:rPr>
          <w:rFonts w:ascii="Arial" w:hAnsi="Arial" w:cs="Arial"/>
          <w:sz w:val="21"/>
          <w:szCs w:val="21"/>
        </w:rPr>
        <w:t xml:space="preserve"> t</w:t>
      </w:r>
      <w:r w:rsidR="00E913B2" w:rsidRPr="000A1E2F">
        <w:rPr>
          <w:rFonts w:ascii="Arial" w:hAnsi="Arial" w:cs="Arial"/>
          <w:sz w:val="21"/>
          <w:szCs w:val="21"/>
        </w:rPr>
        <w:t xml:space="preserve">he Metropolitan Milwaukee real estate market </w:t>
      </w:r>
      <w:r>
        <w:rPr>
          <w:rFonts w:ascii="Arial" w:hAnsi="Arial" w:cs="Arial"/>
          <w:sz w:val="21"/>
          <w:szCs w:val="21"/>
        </w:rPr>
        <w:t xml:space="preserve">set a </w:t>
      </w:r>
      <w:r w:rsidRPr="00214A45">
        <w:rPr>
          <w:rFonts w:ascii="Arial" w:hAnsi="Arial" w:cs="Arial"/>
          <w:b/>
          <w:bCs/>
          <w:sz w:val="21"/>
          <w:szCs w:val="21"/>
        </w:rPr>
        <w:t xml:space="preserve">new sales record </w:t>
      </w:r>
      <w:r w:rsidR="00DA4DBE" w:rsidRPr="00214A45">
        <w:rPr>
          <w:rFonts w:ascii="Arial" w:hAnsi="Arial" w:cs="Arial"/>
          <w:b/>
          <w:bCs/>
          <w:sz w:val="21"/>
          <w:szCs w:val="21"/>
        </w:rPr>
        <w:t xml:space="preserve">in 2021 </w:t>
      </w:r>
      <w:r w:rsidRPr="00214A45">
        <w:rPr>
          <w:rFonts w:ascii="Arial" w:hAnsi="Arial" w:cs="Arial"/>
          <w:b/>
          <w:bCs/>
          <w:sz w:val="21"/>
          <w:szCs w:val="21"/>
        </w:rPr>
        <w:t>with 23,</w:t>
      </w:r>
      <w:r w:rsidR="00DA4DBE" w:rsidRPr="00214A45">
        <w:rPr>
          <w:rFonts w:ascii="Arial" w:hAnsi="Arial" w:cs="Arial"/>
          <w:b/>
          <w:bCs/>
          <w:sz w:val="21"/>
          <w:szCs w:val="21"/>
        </w:rPr>
        <w:t>827</w:t>
      </w:r>
      <w:r w:rsidRPr="00214A45">
        <w:rPr>
          <w:rFonts w:ascii="Arial" w:hAnsi="Arial" w:cs="Arial"/>
          <w:b/>
          <w:bCs/>
          <w:sz w:val="21"/>
          <w:szCs w:val="21"/>
        </w:rPr>
        <w:t xml:space="preserve"> </w:t>
      </w:r>
      <w:r w:rsidR="004F022E" w:rsidRPr="00214A45">
        <w:rPr>
          <w:rFonts w:ascii="Arial" w:hAnsi="Arial" w:cs="Arial"/>
          <w:b/>
          <w:bCs/>
          <w:sz w:val="21"/>
          <w:szCs w:val="21"/>
        </w:rPr>
        <w:t xml:space="preserve">total </w:t>
      </w:r>
      <w:r w:rsidRPr="00214A45">
        <w:rPr>
          <w:rFonts w:ascii="Arial" w:hAnsi="Arial" w:cs="Arial"/>
          <w:b/>
          <w:bCs/>
          <w:sz w:val="21"/>
          <w:szCs w:val="21"/>
        </w:rPr>
        <w:t>unit sales</w:t>
      </w:r>
      <w:r w:rsidR="00080EBB">
        <w:rPr>
          <w:rFonts w:ascii="Arial" w:hAnsi="Arial" w:cs="Arial"/>
          <w:sz w:val="21"/>
          <w:szCs w:val="21"/>
        </w:rPr>
        <w:t xml:space="preserve">. </w:t>
      </w:r>
      <w:r w:rsidR="00697985">
        <w:rPr>
          <w:rFonts w:ascii="Arial" w:hAnsi="Arial" w:cs="Arial"/>
          <w:sz w:val="21"/>
          <w:szCs w:val="21"/>
        </w:rPr>
        <w:t xml:space="preserve">Only </w:t>
      </w:r>
      <w:r w:rsidR="00DA4DBE">
        <w:rPr>
          <w:rFonts w:ascii="Arial" w:hAnsi="Arial" w:cs="Arial"/>
          <w:sz w:val="21"/>
          <w:szCs w:val="21"/>
        </w:rPr>
        <w:t>three</w:t>
      </w:r>
      <w:r w:rsidR="00697985">
        <w:rPr>
          <w:rFonts w:ascii="Arial" w:hAnsi="Arial" w:cs="Arial"/>
          <w:sz w:val="21"/>
          <w:szCs w:val="21"/>
        </w:rPr>
        <w:t xml:space="preserve"> months </w:t>
      </w:r>
      <w:r w:rsidR="00DA4DBE">
        <w:rPr>
          <w:rFonts w:ascii="Arial" w:hAnsi="Arial" w:cs="Arial"/>
          <w:sz w:val="21"/>
          <w:szCs w:val="21"/>
        </w:rPr>
        <w:t>in</w:t>
      </w:r>
      <w:r w:rsidR="00697985">
        <w:rPr>
          <w:rFonts w:ascii="Arial" w:hAnsi="Arial" w:cs="Arial"/>
          <w:sz w:val="21"/>
          <w:szCs w:val="21"/>
        </w:rPr>
        <w:t xml:space="preserve"> 2021</w:t>
      </w:r>
      <w:r w:rsidR="00DA4DBE">
        <w:rPr>
          <w:rFonts w:ascii="Arial" w:hAnsi="Arial" w:cs="Arial"/>
          <w:sz w:val="21"/>
          <w:szCs w:val="21"/>
        </w:rPr>
        <w:t xml:space="preserve"> (Feb, Sept, </w:t>
      </w:r>
      <w:r w:rsidR="004F022E">
        <w:rPr>
          <w:rFonts w:ascii="Arial" w:hAnsi="Arial" w:cs="Arial"/>
          <w:sz w:val="21"/>
          <w:szCs w:val="21"/>
        </w:rPr>
        <w:t xml:space="preserve">&amp; </w:t>
      </w:r>
      <w:r w:rsidR="00DA4DBE">
        <w:rPr>
          <w:rFonts w:ascii="Arial" w:hAnsi="Arial" w:cs="Arial"/>
          <w:sz w:val="21"/>
          <w:szCs w:val="21"/>
        </w:rPr>
        <w:t>Oct.)</w:t>
      </w:r>
      <w:r w:rsidR="00697985">
        <w:rPr>
          <w:rFonts w:ascii="Arial" w:hAnsi="Arial" w:cs="Arial"/>
          <w:sz w:val="21"/>
          <w:szCs w:val="21"/>
        </w:rPr>
        <w:t xml:space="preserve"> were behind 2020</w:t>
      </w:r>
      <w:r w:rsidR="00DA4DBE">
        <w:rPr>
          <w:rFonts w:ascii="Arial" w:hAnsi="Arial" w:cs="Arial"/>
          <w:sz w:val="21"/>
          <w:szCs w:val="21"/>
        </w:rPr>
        <w:t xml:space="preserve">, by a </w:t>
      </w:r>
      <w:r w:rsidR="00697985">
        <w:rPr>
          <w:rFonts w:ascii="Arial" w:hAnsi="Arial" w:cs="Arial"/>
          <w:sz w:val="21"/>
          <w:szCs w:val="21"/>
        </w:rPr>
        <w:t>total</w:t>
      </w:r>
      <w:r w:rsidR="00DA4DBE">
        <w:rPr>
          <w:rFonts w:ascii="Arial" w:hAnsi="Arial" w:cs="Arial"/>
          <w:sz w:val="21"/>
          <w:szCs w:val="21"/>
        </w:rPr>
        <w:t xml:space="preserve"> of</w:t>
      </w:r>
      <w:r w:rsidR="00697985">
        <w:rPr>
          <w:rFonts w:ascii="Arial" w:hAnsi="Arial" w:cs="Arial"/>
          <w:sz w:val="21"/>
          <w:szCs w:val="21"/>
        </w:rPr>
        <w:t xml:space="preserve"> </w:t>
      </w:r>
      <w:r w:rsidR="005C2D08">
        <w:rPr>
          <w:rFonts w:ascii="Arial" w:hAnsi="Arial" w:cs="Arial"/>
          <w:sz w:val="21"/>
          <w:szCs w:val="21"/>
        </w:rPr>
        <w:t xml:space="preserve">315 units. </w:t>
      </w:r>
    </w:p>
    <w:p w14:paraId="7233ECB5" w14:textId="1E635387" w:rsidR="009B7675" w:rsidRDefault="009B7675" w:rsidP="000A1E2F">
      <w:pPr>
        <w:spacing w:before="120" w:after="120" w:line="300" w:lineRule="auto"/>
        <w:ind w:left="-360" w:right="-360"/>
        <w:contextualSpacing/>
        <w:rPr>
          <w:rFonts w:ascii="Arial" w:hAnsi="Arial" w:cs="Arial"/>
          <w:sz w:val="21"/>
          <w:szCs w:val="21"/>
        </w:rPr>
      </w:pPr>
    </w:p>
    <w:p w14:paraId="5CDCD1A3" w14:textId="26AF3B27" w:rsidR="00376618" w:rsidRDefault="00DA4DBE" w:rsidP="000A1E2F">
      <w:pPr>
        <w:spacing w:before="120" w:after="120" w:line="300" w:lineRule="auto"/>
        <w:ind w:left="-360" w:right="-360"/>
        <w:contextualSpacing/>
        <w:rPr>
          <w:rFonts w:ascii="Arial" w:hAnsi="Arial" w:cs="Arial"/>
          <w:sz w:val="21"/>
          <w:szCs w:val="21"/>
        </w:rPr>
      </w:pPr>
      <w:r>
        <w:rPr>
          <w:rFonts w:ascii="Arial" w:hAnsi="Arial" w:cs="Arial"/>
          <w:sz w:val="21"/>
          <w:szCs w:val="21"/>
        </w:rPr>
        <w:t xml:space="preserve">2021 also marks the sixth consecutive year of sales above 21,000 units. </w:t>
      </w:r>
      <w:r w:rsidR="00376618">
        <w:rPr>
          <w:rFonts w:ascii="Arial" w:hAnsi="Arial" w:cs="Arial"/>
          <w:sz w:val="21"/>
          <w:szCs w:val="21"/>
        </w:rPr>
        <w:t>Th</w:t>
      </w:r>
      <w:r>
        <w:rPr>
          <w:rFonts w:ascii="Arial" w:hAnsi="Arial" w:cs="Arial"/>
          <w:sz w:val="21"/>
          <w:szCs w:val="21"/>
        </w:rPr>
        <w:t>at is a sure sign of the market’s strength</w:t>
      </w:r>
      <w:r w:rsidR="00A73F2D">
        <w:rPr>
          <w:rFonts w:ascii="Arial" w:hAnsi="Arial" w:cs="Arial"/>
          <w:sz w:val="21"/>
          <w:szCs w:val="21"/>
        </w:rPr>
        <w:t>, and induces shudders compar</w:t>
      </w:r>
      <w:r w:rsidR="004F440A">
        <w:rPr>
          <w:rFonts w:ascii="Arial" w:hAnsi="Arial" w:cs="Arial"/>
          <w:sz w:val="21"/>
          <w:szCs w:val="21"/>
        </w:rPr>
        <w:t>ed</w:t>
      </w:r>
      <w:r w:rsidR="00A73F2D">
        <w:rPr>
          <w:rFonts w:ascii="Arial" w:hAnsi="Arial" w:cs="Arial"/>
          <w:sz w:val="21"/>
          <w:szCs w:val="21"/>
        </w:rPr>
        <w:t xml:space="preserve"> to 2010’s 12,865 total annual sales.</w:t>
      </w:r>
    </w:p>
    <w:p w14:paraId="7E1A7101" w14:textId="77777777" w:rsidR="00A73F2D" w:rsidRPr="000A1E2F" w:rsidRDefault="00A73F2D" w:rsidP="000A1E2F">
      <w:pPr>
        <w:spacing w:before="120" w:after="120" w:line="300" w:lineRule="auto"/>
        <w:ind w:left="-360" w:right="-360"/>
        <w:contextualSpacing/>
        <w:rPr>
          <w:rFonts w:ascii="Arial" w:hAnsi="Arial" w:cs="Arial"/>
          <w:sz w:val="21"/>
          <w:szCs w:val="21"/>
        </w:rPr>
      </w:pPr>
    </w:p>
    <w:p w14:paraId="23F30C15" w14:textId="77777777" w:rsidR="00A30F7F" w:rsidRDefault="006F027C" w:rsidP="000A1E2F">
      <w:pPr>
        <w:spacing w:before="120" w:after="120" w:line="300" w:lineRule="auto"/>
        <w:ind w:left="-360" w:right="-360"/>
        <w:contextualSpacing/>
        <w:rPr>
          <w:rFonts w:ascii="Arial" w:hAnsi="Arial" w:cs="Arial"/>
          <w:sz w:val="21"/>
          <w:szCs w:val="21"/>
        </w:rPr>
      </w:pPr>
      <w:r>
        <w:rPr>
          <w:rFonts w:ascii="Arial" w:hAnsi="Arial" w:cs="Arial"/>
          <w:sz w:val="21"/>
          <w:szCs w:val="21"/>
        </w:rPr>
        <w:t xml:space="preserve">A traditionally slow month, December saw strong </w:t>
      </w:r>
      <w:r w:rsidR="00654C36">
        <w:rPr>
          <w:rFonts w:ascii="Arial" w:hAnsi="Arial" w:cs="Arial"/>
          <w:sz w:val="21"/>
          <w:szCs w:val="21"/>
        </w:rPr>
        <w:t xml:space="preserve">sales </w:t>
      </w:r>
      <w:r w:rsidR="005E0A00">
        <w:rPr>
          <w:rFonts w:ascii="Arial" w:hAnsi="Arial" w:cs="Arial"/>
          <w:sz w:val="21"/>
          <w:szCs w:val="21"/>
        </w:rPr>
        <w:t>in almost every county in the metropolitan area and Southeastern Wisconsin</w:t>
      </w:r>
      <w:r w:rsidR="00A30F7F">
        <w:rPr>
          <w:rFonts w:ascii="Arial" w:hAnsi="Arial" w:cs="Arial"/>
          <w:sz w:val="21"/>
          <w:szCs w:val="21"/>
        </w:rPr>
        <w:t>, increasing by 7.6% and 8.8%, respectively</w:t>
      </w:r>
      <w:r w:rsidR="005E0A00">
        <w:rPr>
          <w:rFonts w:ascii="Arial" w:hAnsi="Arial" w:cs="Arial"/>
          <w:sz w:val="21"/>
          <w:szCs w:val="21"/>
        </w:rPr>
        <w:t xml:space="preserve">. </w:t>
      </w:r>
    </w:p>
    <w:p w14:paraId="69AD47FA" w14:textId="77777777" w:rsidR="00A30F7F" w:rsidRDefault="00A30F7F" w:rsidP="000A1E2F">
      <w:pPr>
        <w:spacing w:before="120" w:after="120" w:line="300" w:lineRule="auto"/>
        <w:ind w:left="-360" w:right="-360"/>
        <w:contextualSpacing/>
        <w:rPr>
          <w:rFonts w:ascii="Arial" w:hAnsi="Arial" w:cs="Arial"/>
          <w:sz w:val="21"/>
          <w:szCs w:val="21"/>
        </w:rPr>
      </w:pPr>
    </w:p>
    <w:p w14:paraId="2423BAE4" w14:textId="65E95EE7" w:rsidR="00BD363D" w:rsidRPr="000A1E2F" w:rsidRDefault="00A30F7F" w:rsidP="000A1E2F">
      <w:pPr>
        <w:spacing w:before="120" w:after="120" w:line="300" w:lineRule="auto"/>
        <w:ind w:left="-360" w:right="-360"/>
        <w:contextualSpacing/>
        <w:rPr>
          <w:rFonts w:ascii="Arial" w:hAnsi="Arial" w:cs="Arial"/>
          <w:sz w:val="21"/>
          <w:szCs w:val="21"/>
        </w:rPr>
      </w:pPr>
      <w:r>
        <w:rPr>
          <w:rFonts w:ascii="Arial" w:hAnsi="Arial" w:cs="Arial"/>
          <w:sz w:val="21"/>
          <w:szCs w:val="21"/>
        </w:rPr>
        <w:t xml:space="preserve">Looking at properties by price range, those in </w:t>
      </w:r>
      <w:r w:rsidR="006F027C">
        <w:rPr>
          <w:rFonts w:ascii="Arial" w:hAnsi="Arial" w:cs="Arial"/>
          <w:sz w:val="21"/>
          <w:szCs w:val="21"/>
        </w:rPr>
        <w:t xml:space="preserve">the </w:t>
      </w:r>
      <w:r w:rsidR="00080DB8">
        <w:rPr>
          <w:rFonts w:ascii="Arial" w:hAnsi="Arial" w:cs="Arial"/>
          <w:sz w:val="21"/>
          <w:szCs w:val="21"/>
        </w:rPr>
        <w:t xml:space="preserve">$200K - $300K range rose 4.6% and the $300K - $500K range were up 13.2%, but the </w:t>
      </w:r>
      <w:r w:rsidR="006F027C">
        <w:rPr>
          <w:rFonts w:ascii="Arial" w:hAnsi="Arial" w:cs="Arial"/>
          <w:sz w:val="21"/>
          <w:szCs w:val="21"/>
        </w:rPr>
        <w:t>$500K - $700K range lead the way with a 53.8% increase</w:t>
      </w:r>
      <w:r w:rsidR="005E0A00">
        <w:rPr>
          <w:rFonts w:ascii="Arial" w:hAnsi="Arial" w:cs="Arial"/>
          <w:sz w:val="21"/>
          <w:szCs w:val="21"/>
        </w:rPr>
        <w:t xml:space="preserve"> in units</w:t>
      </w:r>
      <w:r w:rsidR="006F027C">
        <w:rPr>
          <w:rFonts w:ascii="Arial" w:hAnsi="Arial" w:cs="Arial"/>
          <w:sz w:val="21"/>
          <w:szCs w:val="21"/>
        </w:rPr>
        <w:t>.</w:t>
      </w:r>
      <w:r w:rsidR="00F43485" w:rsidRPr="000A1E2F">
        <w:rPr>
          <w:rFonts w:ascii="Arial" w:hAnsi="Arial" w:cs="Arial"/>
          <w:sz w:val="21"/>
          <w:szCs w:val="21"/>
        </w:rPr>
        <w:t xml:space="preserve"> </w:t>
      </w:r>
    </w:p>
    <w:p w14:paraId="7B743853" w14:textId="77777777" w:rsidR="00BD363D" w:rsidRPr="000A1E2F" w:rsidRDefault="00BD363D" w:rsidP="000A1E2F">
      <w:pPr>
        <w:spacing w:before="120" w:after="120" w:line="300" w:lineRule="auto"/>
        <w:ind w:left="-360" w:right="-360"/>
        <w:contextualSpacing/>
        <w:rPr>
          <w:rFonts w:ascii="Arial" w:hAnsi="Arial" w:cs="Arial"/>
          <w:sz w:val="21"/>
          <w:szCs w:val="21"/>
        </w:rPr>
      </w:pPr>
    </w:p>
    <w:p w14:paraId="4B371E72" w14:textId="77777777" w:rsidR="00F852D3" w:rsidRDefault="00654C36" w:rsidP="000A1E2F">
      <w:pPr>
        <w:spacing w:before="120" w:after="120" w:line="300" w:lineRule="auto"/>
        <w:ind w:left="-360" w:right="-360"/>
        <w:contextualSpacing/>
        <w:rPr>
          <w:rFonts w:ascii="Arial" w:hAnsi="Arial" w:cs="Arial"/>
          <w:sz w:val="21"/>
          <w:szCs w:val="21"/>
        </w:rPr>
      </w:pPr>
      <w:r>
        <w:rPr>
          <w:rFonts w:ascii="Arial" w:hAnsi="Arial" w:cs="Arial"/>
          <w:sz w:val="21"/>
          <w:szCs w:val="21"/>
        </w:rPr>
        <w:t xml:space="preserve">New </w:t>
      </w:r>
      <w:r w:rsidR="00957AA6" w:rsidRPr="000A1E2F">
        <w:rPr>
          <w:rFonts w:ascii="Arial" w:hAnsi="Arial" w:cs="Arial"/>
          <w:sz w:val="21"/>
          <w:szCs w:val="21"/>
        </w:rPr>
        <w:t xml:space="preserve">listings </w:t>
      </w:r>
      <w:r>
        <w:rPr>
          <w:rFonts w:ascii="Arial" w:hAnsi="Arial" w:cs="Arial"/>
          <w:sz w:val="21"/>
          <w:szCs w:val="21"/>
        </w:rPr>
        <w:t xml:space="preserve">were down </w:t>
      </w:r>
      <w:r w:rsidR="00080DB8">
        <w:rPr>
          <w:rFonts w:ascii="Arial" w:hAnsi="Arial" w:cs="Arial"/>
          <w:sz w:val="21"/>
          <w:szCs w:val="21"/>
        </w:rPr>
        <w:t>8</w:t>
      </w:r>
      <w:r>
        <w:rPr>
          <w:rFonts w:ascii="Arial" w:hAnsi="Arial" w:cs="Arial"/>
          <w:sz w:val="21"/>
          <w:szCs w:val="21"/>
        </w:rPr>
        <w:t>.</w:t>
      </w:r>
      <w:r w:rsidR="00080DB8">
        <w:rPr>
          <w:rFonts w:ascii="Arial" w:hAnsi="Arial" w:cs="Arial"/>
          <w:sz w:val="21"/>
          <w:szCs w:val="21"/>
        </w:rPr>
        <w:t>8</w:t>
      </w:r>
      <w:r>
        <w:rPr>
          <w:rFonts w:ascii="Arial" w:hAnsi="Arial" w:cs="Arial"/>
          <w:sz w:val="21"/>
          <w:szCs w:val="21"/>
        </w:rPr>
        <w:t>%</w:t>
      </w:r>
      <w:r w:rsidR="00080DB8">
        <w:rPr>
          <w:rFonts w:ascii="Arial" w:hAnsi="Arial" w:cs="Arial"/>
          <w:sz w:val="21"/>
          <w:szCs w:val="21"/>
        </w:rPr>
        <w:t xml:space="preserve"> in December, but up 6.0% for 2021</w:t>
      </w:r>
      <w:r w:rsidR="00F852D3">
        <w:rPr>
          <w:rFonts w:ascii="Arial" w:hAnsi="Arial" w:cs="Arial"/>
          <w:sz w:val="21"/>
          <w:szCs w:val="21"/>
        </w:rPr>
        <w:t xml:space="preserve">. </w:t>
      </w:r>
    </w:p>
    <w:p w14:paraId="0B244A87" w14:textId="77777777" w:rsidR="00F852D3" w:rsidRDefault="00F852D3" w:rsidP="000A1E2F">
      <w:pPr>
        <w:spacing w:before="120" w:after="120" w:line="300" w:lineRule="auto"/>
        <w:ind w:left="-360" w:right="-360"/>
        <w:contextualSpacing/>
        <w:rPr>
          <w:rFonts w:ascii="Arial" w:hAnsi="Arial" w:cs="Arial"/>
          <w:sz w:val="21"/>
          <w:szCs w:val="21"/>
        </w:rPr>
      </w:pPr>
    </w:p>
    <w:p w14:paraId="294F0369" w14:textId="262D7159" w:rsidR="00F35608" w:rsidRDefault="000F623E" w:rsidP="000A1E2F">
      <w:pPr>
        <w:spacing w:before="120" w:after="120" w:line="300" w:lineRule="auto"/>
        <w:ind w:left="-360" w:right="-360"/>
        <w:contextualSpacing/>
        <w:rPr>
          <w:rFonts w:ascii="Arial" w:hAnsi="Arial" w:cs="Arial"/>
          <w:sz w:val="21"/>
          <w:szCs w:val="21"/>
        </w:rPr>
      </w:pPr>
      <w:r>
        <w:rPr>
          <w:rFonts w:ascii="Arial" w:hAnsi="Arial" w:cs="Arial"/>
          <w:sz w:val="21"/>
          <w:szCs w:val="21"/>
        </w:rPr>
        <w:t>Total l</w:t>
      </w:r>
      <w:r w:rsidR="00F852D3">
        <w:rPr>
          <w:rFonts w:ascii="Arial" w:hAnsi="Arial" w:cs="Arial"/>
          <w:sz w:val="21"/>
          <w:szCs w:val="21"/>
        </w:rPr>
        <w:t>istings have been</w:t>
      </w:r>
      <w:r>
        <w:rPr>
          <w:rFonts w:ascii="Arial" w:hAnsi="Arial" w:cs="Arial"/>
          <w:sz w:val="21"/>
          <w:szCs w:val="21"/>
        </w:rPr>
        <w:t xml:space="preserve"> trading within a band between 26,000 and 28,000 new listings per year for a decade, all the while the number of households have grown by 2.1% from 622,087 in 2010 to 635,351 households in 2020.</w:t>
      </w:r>
    </w:p>
    <w:tbl>
      <w:tblPr>
        <w:tblpPr w:leftFromText="360" w:rightFromText="187" w:bottomFromText="274" w:vertAnchor="text" w:horzAnchor="margin" w:tblpXSpec="right" w:tblpY="159"/>
        <w:tblW w:w="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929"/>
        <w:gridCol w:w="929"/>
        <w:gridCol w:w="1069"/>
      </w:tblGrid>
      <w:tr w:rsidR="00F35608" w:rsidRPr="000A1E2F" w14:paraId="6B82E1F9" w14:textId="77777777" w:rsidTr="00F71BBF">
        <w:trPr>
          <w:trHeight w:val="288"/>
        </w:trPr>
        <w:tc>
          <w:tcPr>
            <w:tcW w:w="4367"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1E101F06" w14:textId="77777777" w:rsidR="00F35608" w:rsidRPr="000A1E2F" w:rsidRDefault="00F35608" w:rsidP="00F71BBF">
            <w:pPr>
              <w:ind w:left="-30" w:right="75" w:hanging="15"/>
              <w:rPr>
                <w:rFonts w:ascii="Arial" w:hAnsi="Arial" w:cs="Arial"/>
                <w:b/>
                <w:sz w:val="20"/>
                <w:szCs w:val="20"/>
              </w:rPr>
            </w:pPr>
            <w:r>
              <w:rPr>
                <w:rFonts w:ascii="Arial" w:hAnsi="Arial" w:cs="Arial"/>
                <w:b/>
                <w:sz w:val="20"/>
                <w:szCs w:val="20"/>
              </w:rPr>
              <w:lastRenderedPageBreak/>
              <w:t>December</w:t>
            </w:r>
            <w:r w:rsidRPr="000A1E2F">
              <w:rPr>
                <w:rFonts w:ascii="Arial" w:hAnsi="Arial" w:cs="Arial"/>
                <w:b/>
                <w:sz w:val="20"/>
                <w:szCs w:val="20"/>
              </w:rPr>
              <w:t xml:space="preserve"> Listings</w:t>
            </w:r>
          </w:p>
        </w:tc>
      </w:tr>
      <w:tr w:rsidR="00F35608" w:rsidRPr="000A1E2F" w14:paraId="39667B19" w14:textId="77777777" w:rsidTr="00F71BBF">
        <w:trPr>
          <w:trHeight w:val="288"/>
        </w:trPr>
        <w:tc>
          <w:tcPr>
            <w:tcW w:w="1440"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14:paraId="17240186" w14:textId="77777777" w:rsidR="00F35608" w:rsidRPr="00256F5E" w:rsidRDefault="00F35608" w:rsidP="00F71BBF">
            <w:pPr>
              <w:ind w:left="-30" w:right="75" w:hanging="15"/>
              <w:jc w:val="center"/>
              <w:rPr>
                <w:rFonts w:cstheme="minorHAnsi"/>
                <w:b/>
                <w:color w:val="FFFFFF" w:themeColor="background1"/>
              </w:rPr>
            </w:pPr>
            <w:r w:rsidRPr="00256F5E">
              <w:rPr>
                <w:rFonts w:cstheme="minorHAnsi"/>
                <w:b/>
                <w:color w:val="FFFFFF" w:themeColor="background1"/>
              </w:rPr>
              <w:t>County</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14:paraId="5B5B3317" w14:textId="77777777" w:rsidR="00F35608" w:rsidRPr="00256F5E" w:rsidRDefault="00F35608" w:rsidP="00F71BBF">
            <w:pPr>
              <w:ind w:left="-30" w:right="75" w:hanging="15"/>
              <w:jc w:val="center"/>
              <w:rPr>
                <w:rFonts w:cstheme="minorHAnsi"/>
                <w:color w:val="FFFFFF" w:themeColor="background1"/>
              </w:rPr>
            </w:pPr>
            <w:r w:rsidRPr="00256F5E">
              <w:rPr>
                <w:rFonts w:cstheme="minorHAnsi"/>
                <w:color w:val="FFFFFF" w:themeColor="background1"/>
              </w:rPr>
              <w:t>2020</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hideMark/>
          </w:tcPr>
          <w:p w14:paraId="54C3E926" w14:textId="77777777" w:rsidR="00F35608" w:rsidRPr="00256F5E" w:rsidRDefault="00F35608" w:rsidP="00F71BBF">
            <w:pPr>
              <w:ind w:left="-30" w:right="75" w:hanging="15"/>
              <w:jc w:val="center"/>
              <w:rPr>
                <w:rFonts w:cstheme="minorHAnsi"/>
                <w:color w:val="FFFFFF" w:themeColor="background1"/>
              </w:rPr>
            </w:pPr>
            <w:r w:rsidRPr="00256F5E">
              <w:rPr>
                <w:rFonts w:cstheme="minorHAnsi"/>
                <w:color w:val="FFFFFF" w:themeColor="background1"/>
              </w:rPr>
              <w:t>2021</w:t>
            </w:r>
          </w:p>
        </w:tc>
        <w:tc>
          <w:tcPr>
            <w:tcW w:w="1069" w:type="dxa"/>
            <w:tcBorders>
              <w:top w:val="single" w:sz="12" w:space="0" w:color="FFFFFF" w:themeColor="background1"/>
              <w:left w:val="single" w:sz="12" w:space="0" w:color="FFFFFF" w:themeColor="background1"/>
              <w:bottom w:val="nil"/>
            </w:tcBorders>
            <w:shd w:val="clear" w:color="auto" w:fill="1F4E79" w:themeFill="accent1" w:themeFillShade="80"/>
            <w:vAlign w:val="center"/>
          </w:tcPr>
          <w:p w14:paraId="7AD430F1" w14:textId="77777777" w:rsidR="00F35608" w:rsidRPr="00256F5E" w:rsidRDefault="00F35608" w:rsidP="00F71BBF">
            <w:pPr>
              <w:ind w:left="-30" w:right="75" w:hanging="15"/>
              <w:jc w:val="right"/>
              <w:rPr>
                <w:rFonts w:cstheme="minorHAnsi"/>
                <w:color w:val="FFFFFF" w:themeColor="background1"/>
              </w:rPr>
            </w:pPr>
            <w:r w:rsidRPr="00256F5E">
              <w:rPr>
                <w:rFonts w:cstheme="minorHAnsi"/>
                <w:color w:val="FFFFFF" w:themeColor="background1"/>
              </w:rPr>
              <w:t>% Change</w:t>
            </w:r>
          </w:p>
        </w:tc>
      </w:tr>
      <w:tr w:rsidR="00F35608" w:rsidRPr="000A1E2F" w14:paraId="4D5F87B7" w14:textId="77777777" w:rsidTr="00F71BBF">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hideMark/>
          </w:tcPr>
          <w:p w14:paraId="2B8D3724"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Milwaukee</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3891760" w14:textId="77777777" w:rsidR="00F35608" w:rsidRPr="00120199" w:rsidRDefault="00F35608" w:rsidP="00F71BBF">
            <w:pPr>
              <w:ind w:left="-30" w:right="75" w:hanging="15"/>
              <w:jc w:val="right"/>
              <w:rPr>
                <w:rFonts w:ascii="Arial" w:hAnsi="Arial" w:cs="Arial"/>
                <w:sz w:val="20"/>
                <w:szCs w:val="20"/>
              </w:rPr>
            </w:pPr>
            <w:r w:rsidRPr="00D27C43">
              <w:t>692</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1D5299AA" w14:textId="77777777" w:rsidR="00F35608" w:rsidRPr="00120199" w:rsidRDefault="00F35608" w:rsidP="00F71BBF">
            <w:pPr>
              <w:ind w:left="-30" w:right="75" w:hanging="15"/>
              <w:jc w:val="right"/>
              <w:rPr>
                <w:rFonts w:ascii="Arial" w:hAnsi="Arial" w:cs="Arial"/>
                <w:sz w:val="20"/>
                <w:szCs w:val="20"/>
              </w:rPr>
            </w:pPr>
            <w:r w:rsidRPr="00D27C43">
              <w:t>660</w:t>
            </w:r>
          </w:p>
        </w:tc>
        <w:tc>
          <w:tcPr>
            <w:tcW w:w="1069" w:type="dxa"/>
            <w:tcBorders>
              <w:top w:val="nil"/>
              <w:left w:val="nil"/>
              <w:bottom w:val="nil"/>
              <w:right w:val="nil"/>
            </w:tcBorders>
            <w:shd w:val="clear" w:color="auto" w:fill="auto"/>
            <w:vAlign w:val="center"/>
          </w:tcPr>
          <w:p w14:paraId="04DDD5CB" w14:textId="77777777" w:rsidR="00F35608" w:rsidRPr="00120199" w:rsidRDefault="00F35608" w:rsidP="00F71BBF">
            <w:pPr>
              <w:ind w:left="-30" w:right="225" w:hanging="15"/>
              <w:jc w:val="right"/>
              <w:rPr>
                <w:rFonts w:ascii="Arial" w:hAnsi="Arial" w:cs="Arial"/>
                <w:sz w:val="20"/>
                <w:szCs w:val="20"/>
              </w:rPr>
            </w:pPr>
            <w:r w:rsidRPr="00D27C43">
              <w:t>-4.6%</w:t>
            </w:r>
          </w:p>
        </w:tc>
      </w:tr>
      <w:tr w:rsidR="00F35608" w:rsidRPr="000A1E2F" w14:paraId="089FA86C" w14:textId="77777777" w:rsidTr="00F71BBF">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64E64F72"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282ABB1" w14:textId="77777777" w:rsidR="00F35608" w:rsidRPr="00120199" w:rsidRDefault="00F35608" w:rsidP="00F71BBF">
            <w:pPr>
              <w:ind w:left="-30" w:right="75" w:hanging="15"/>
              <w:jc w:val="right"/>
              <w:rPr>
                <w:rFonts w:ascii="Arial" w:hAnsi="Arial" w:cs="Arial"/>
                <w:sz w:val="20"/>
                <w:szCs w:val="20"/>
              </w:rPr>
            </w:pPr>
            <w:r w:rsidRPr="00D27C43">
              <w:t>234</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A0198FE" w14:textId="77777777" w:rsidR="00F35608" w:rsidRPr="00120199" w:rsidRDefault="00F35608" w:rsidP="00F71BBF">
            <w:pPr>
              <w:ind w:left="-30" w:right="75" w:hanging="15"/>
              <w:jc w:val="right"/>
              <w:rPr>
                <w:rFonts w:ascii="Arial" w:hAnsi="Arial" w:cs="Arial"/>
                <w:sz w:val="20"/>
                <w:szCs w:val="20"/>
              </w:rPr>
            </w:pPr>
            <w:r w:rsidRPr="00D27C43">
              <w:t>202</w:t>
            </w:r>
          </w:p>
        </w:tc>
        <w:tc>
          <w:tcPr>
            <w:tcW w:w="1069" w:type="dxa"/>
            <w:tcBorders>
              <w:top w:val="nil"/>
              <w:left w:val="nil"/>
              <w:bottom w:val="nil"/>
              <w:right w:val="nil"/>
            </w:tcBorders>
            <w:shd w:val="clear" w:color="auto" w:fill="DEEAF6" w:themeFill="accent1" w:themeFillTint="33"/>
            <w:vAlign w:val="center"/>
          </w:tcPr>
          <w:p w14:paraId="4A570D22" w14:textId="77777777" w:rsidR="00F35608" w:rsidRPr="00120199" w:rsidRDefault="00F35608" w:rsidP="00F71BBF">
            <w:pPr>
              <w:ind w:left="-30" w:right="225" w:hanging="15"/>
              <w:jc w:val="right"/>
              <w:rPr>
                <w:rFonts w:ascii="Arial" w:hAnsi="Arial" w:cs="Arial"/>
                <w:sz w:val="20"/>
                <w:szCs w:val="20"/>
              </w:rPr>
            </w:pPr>
            <w:r w:rsidRPr="00D27C43">
              <w:t>-13.7%</w:t>
            </w:r>
          </w:p>
        </w:tc>
      </w:tr>
      <w:tr w:rsidR="00F35608" w:rsidRPr="000A1E2F" w14:paraId="706BC1D4" w14:textId="77777777" w:rsidTr="00F71BBF">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hideMark/>
          </w:tcPr>
          <w:p w14:paraId="700CED41"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Washington</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3AF6D565" w14:textId="77777777" w:rsidR="00F35608" w:rsidRPr="00120199" w:rsidRDefault="00F35608" w:rsidP="00F71BBF">
            <w:pPr>
              <w:ind w:left="-30" w:right="75" w:hanging="15"/>
              <w:jc w:val="right"/>
              <w:rPr>
                <w:rFonts w:ascii="Arial" w:hAnsi="Arial" w:cs="Arial"/>
                <w:sz w:val="20"/>
                <w:szCs w:val="20"/>
              </w:rPr>
            </w:pPr>
            <w:r w:rsidRPr="00D27C43">
              <w:t>111</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2A65440E" w14:textId="77777777" w:rsidR="00F35608" w:rsidRPr="00120199" w:rsidRDefault="00F35608" w:rsidP="00F71BBF">
            <w:pPr>
              <w:ind w:left="-30" w:right="75" w:hanging="15"/>
              <w:jc w:val="right"/>
              <w:rPr>
                <w:rFonts w:ascii="Arial" w:hAnsi="Arial" w:cs="Arial"/>
                <w:sz w:val="20"/>
                <w:szCs w:val="20"/>
              </w:rPr>
            </w:pPr>
            <w:r w:rsidRPr="00D27C43">
              <w:t>83</w:t>
            </w:r>
          </w:p>
        </w:tc>
        <w:tc>
          <w:tcPr>
            <w:tcW w:w="1069" w:type="dxa"/>
            <w:tcBorders>
              <w:top w:val="nil"/>
              <w:left w:val="nil"/>
              <w:bottom w:val="nil"/>
              <w:right w:val="nil"/>
            </w:tcBorders>
            <w:shd w:val="clear" w:color="auto" w:fill="auto"/>
            <w:vAlign w:val="center"/>
          </w:tcPr>
          <w:p w14:paraId="09F0A80D" w14:textId="77777777" w:rsidR="00F35608" w:rsidRPr="00120199" w:rsidRDefault="00F35608" w:rsidP="00F71BBF">
            <w:pPr>
              <w:ind w:left="-30" w:right="225" w:hanging="15"/>
              <w:jc w:val="right"/>
              <w:rPr>
                <w:rFonts w:ascii="Arial" w:hAnsi="Arial" w:cs="Arial"/>
                <w:sz w:val="20"/>
                <w:szCs w:val="20"/>
              </w:rPr>
            </w:pPr>
            <w:r w:rsidRPr="00D27C43">
              <w:t>-25.2%</w:t>
            </w:r>
          </w:p>
        </w:tc>
      </w:tr>
      <w:tr w:rsidR="00F35608" w:rsidRPr="000A1E2F" w14:paraId="65957178" w14:textId="77777777" w:rsidTr="00F71BBF">
        <w:trPr>
          <w:trHeight w:val="288"/>
        </w:trPr>
        <w:tc>
          <w:tcPr>
            <w:tcW w:w="144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70F7CA50"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Ozaukee</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6D195945" w14:textId="77777777" w:rsidR="00F35608" w:rsidRPr="00120199" w:rsidRDefault="00F35608" w:rsidP="00F71BBF">
            <w:pPr>
              <w:ind w:left="-30" w:right="75" w:hanging="15"/>
              <w:jc w:val="right"/>
              <w:rPr>
                <w:rFonts w:ascii="Arial" w:hAnsi="Arial" w:cs="Arial"/>
                <w:sz w:val="20"/>
                <w:szCs w:val="20"/>
              </w:rPr>
            </w:pPr>
            <w:r w:rsidRPr="00D27C43">
              <w:t>63</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00828FCD" w14:textId="77777777" w:rsidR="00F35608" w:rsidRPr="00120199" w:rsidRDefault="00F35608" w:rsidP="00F71BBF">
            <w:pPr>
              <w:ind w:left="-30" w:right="75" w:hanging="15"/>
              <w:jc w:val="right"/>
              <w:rPr>
                <w:rFonts w:ascii="Arial" w:hAnsi="Arial" w:cs="Arial"/>
                <w:sz w:val="20"/>
                <w:szCs w:val="20"/>
              </w:rPr>
            </w:pPr>
            <w:r w:rsidRPr="00D27C43">
              <w:t>58</w:t>
            </w:r>
          </w:p>
        </w:tc>
        <w:tc>
          <w:tcPr>
            <w:tcW w:w="1069" w:type="dxa"/>
            <w:tcBorders>
              <w:top w:val="nil"/>
              <w:left w:val="nil"/>
              <w:bottom w:val="nil"/>
              <w:right w:val="nil"/>
            </w:tcBorders>
            <w:shd w:val="clear" w:color="auto" w:fill="DEEAF6" w:themeFill="accent1" w:themeFillTint="33"/>
            <w:vAlign w:val="center"/>
          </w:tcPr>
          <w:p w14:paraId="2BD355F5" w14:textId="77777777" w:rsidR="00F35608" w:rsidRPr="00120199" w:rsidRDefault="00F35608" w:rsidP="00F71BBF">
            <w:pPr>
              <w:ind w:left="-30" w:right="225" w:hanging="15"/>
              <w:jc w:val="right"/>
              <w:rPr>
                <w:rFonts w:ascii="Arial" w:hAnsi="Arial" w:cs="Arial"/>
                <w:sz w:val="20"/>
                <w:szCs w:val="20"/>
              </w:rPr>
            </w:pPr>
            <w:r w:rsidRPr="00D27C43">
              <w:t>-7.9%</w:t>
            </w:r>
          </w:p>
        </w:tc>
      </w:tr>
      <w:tr w:rsidR="00F35608" w:rsidRPr="000A1E2F" w14:paraId="323BD68E" w14:textId="77777777" w:rsidTr="00F71BBF">
        <w:trPr>
          <w:trHeight w:val="288"/>
        </w:trPr>
        <w:tc>
          <w:tcPr>
            <w:tcW w:w="144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312EE94A"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Metro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6FB89233" w14:textId="77777777" w:rsidR="00F35608" w:rsidRPr="00120199" w:rsidRDefault="00F35608" w:rsidP="00F71BBF">
            <w:pPr>
              <w:ind w:left="-30" w:right="75" w:hanging="15"/>
              <w:jc w:val="right"/>
              <w:rPr>
                <w:rFonts w:ascii="Arial" w:hAnsi="Arial" w:cs="Arial"/>
                <w:sz w:val="20"/>
                <w:szCs w:val="20"/>
              </w:rPr>
            </w:pPr>
            <w:r w:rsidRPr="00D27C43">
              <w:t>1,100</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16CD91F6" w14:textId="77777777" w:rsidR="00F35608" w:rsidRPr="00120199" w:rsidRDefault="00F35608" w:rsidP="00F71BBF">
            <w:pPr>
              <w:ind w:left="-30" w:right="75" w:hanging="15"/>
              <w:jc w:val="right"/>
              <w:rPr>
                <w:rFonts w:ascii="Arial" w:hAnsi="Arial" w:cs="Arial"/>
                <w:sz w:val="20"/>
                <w:szCs w:val="20"/>
              </w:rPr>
            </w:pPr>
            <w:r w:rsidRPr="00D27C43">
              <w:t>1,003</w:t>
            </w:r>
          </w:p>
        </w:tc>
        <w:tc>
          <w:tcPr>
            <w:tcW w:w="1069" w:type="dxa"/>
            <w:tcBorders>
              <w:top w:val="nil"/>
              <w:left w:val="nil"/>
              <w:bottom w:val="nil"/>
              <w:right w:val="nil"/>
            </w:tcBorders>
            <w:shd w:val="clear" w:color="auto" w:fill="auto"/>
            <w:vAlign w:val="center"/>
          </w:tcPr>
          <w:p w14:paraId="67653F57" w14:textId="77777777" w:rsidR="00F35608" w:rsidRPr="00120199" w:rsidRDefault="00F35608" w:rsidP="00F71BBF">
            <w:pPr>
              <w:ind w:left="-30" w:right="225" w:hanging="15"/>
              <w:jc w:val="right"/>
              <w:rPr>
                <w:rFonts w:ascii="Arial" w:hAnsi="Arial" w:cs="Arial"/>
                <w:sz w:val="20"/>
                <w:szCs w:val="20"/>
              </w:rPr>
            </w:pPr>
            <w:r w:rsidRPr="00D27C43">
              <w:t>-8.8%</w:t>
            </w:r>
          </w:p>
        </w:tc>
      </w:tr>
      <w:tr w:rsidR="00F35608" w:rsidRPr="000A1E2F" w14:paraId="4E7674E0" w14:textId="77777777" w:rsidTr="00F71BBF">
        <w:trPr>
          <w:trHeight w:val="108"/>
        </w:trPr>
        <w:tc>
          <w:tcPr>
            <w:tcW w:w="4367"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CA2D948" w14:textId="77777777" w:rsidR="00F35608" w:rsidRPr="00120199" w:rsidRDefault="00F35608" w:rsidP="00F71BBF">
            <w:pPr>
              <w:ind w:left="-30" w:right="225" w:hanging="15"/>
              <w:jc w:val="right"/>
              <w:rPr>
                <w:rFonts w:ascii="Arial" w:hAnsi="Arial" w:cs="Arial"/>
                <w:sz w:val="10"/>
                <w:szCs w:val="10"/>
              </w:rPr>
            </w:pPr>
          </w:p>
        </w:tc>
      </w:tr>
      <w:tr w:rsidR="00F35608" w:rsidRPr="000A1E2F" w14:paraId="7041BD18" w14:textId="77777777" w:rsidTr="00F71BBF">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tcPr>
          <w:p w14:paraId="316E876C"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Racine</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784E1019" w14:textId="77777777" w:rsidR="00F35608" w:rsidRPr="00120199" w:rsidRDefault="00F35608" w:rsidP="00F71BBF">
            <w:pPr>
              <w:ind w:left="-30" w:right="75" w:hanging="15"/>
              <w:jc w:val="right"/>
              <w:rPr>
                <w:rFonts w:ascii="Arial" w:hAnsi="Arial" w:cs="Arial"/>
                <w:sz w:val="20"/>
                <w:szCs w:val="20"/>
              </w:rPr>
            </w:pPr>
            <w:r w:rsidRPr="00120199">
              <w:rPr>
                <w:rFonts w:ascii="Arial" w:hAnsi="Arial" w:cs="Arial"/>
                <w:sz w:val="20"/>
                <w:szCs w:val="20"/>
              </w:rPr>
              <w:t>355</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5CC956D" w14:textId="77777777" w:rsidR="00F35608" w:rsidRPr="00120199" w:rsidRDefault="00F35608" w:rsidP="00F71BBF">
            <w:pPr>
              <w:ind w:left="-30" w:right="75" w:hanging="15"/>
              <w:jc w:val="right"/>
              <w:rPr>
                <w:rFonts w:ascii="Arial" w:hAnsi="Arial" w:cs="Arial"/>
                <w:sz w:val="20"/>
                <w:szCs w:val="20"/>
              </w:rPr>
            </w:pPr>
            <w:r w:rsidRPr="00120199">
              <w:rPr>
                <w:rFonts w:ascii="Arial" w:hAnsi="Arial" w:cs="Arial"/>
                <w:sz w:val="20"/>
                <w:szCs w:val="20"/>
              </w:rPr>
              <w:t>399</w:t>
            </w:r>
          </w:p>
        </w:tc>
        <w:tc>
          <w:tcPr>
            <w:tcW w:w="1069" w:type="dxa"/>
            <w:tcBorders>
              <w:top w:val="nil"/>
              <w:left w:val="nil"/>
              <w:bottom w:val="nil"/>
              <w:right w:val="nil"/>
            </w:tcBorders>
            <w:shd w:val="clear" w:color="auto" w:fill="auto"/>
            <w:vAlign w:val="center"/>
          </w:tcPr>
          <w:p w14:paraId="748D6AA9" w14:textId="77777777" w:rsidR="00F35608" w:rsidRPr="00120199" w:rsidRDefault="00F35608" w:rsidP="00F71BBF">
            <w:pPr>
              <w:ind w:left="-30" w:right="225" w:hanging="15"/>
              <w:jc w:val="right"/>
              <w:rPr>
                <w:rFonts w:ascii="Arial" w:hAnsi="Arial" w:cs="Arial"/>
                <w:sz w:val="20"/>
                <w:szCs w:val="20"/>
              </w:rPr>
            </w:pPr>
            <w:r w:rsidRPr="00120199">
              <w:rPr>
                <w:rFonts w:ascii="Arial" w:hAnsi="Arial" w:cs="Arial"/>
                <w:sz w:val="20"/>
                <w:szCs w:val="20"/>
              </w:rPr>
              <w:t>12.4%</w:t>
            </w:r>
          </w:p>
        </w:tc>
      </w:tr>
      <w:tr w:rsidR="00F35608" w:rsidRPr="000A1E2F" w14:paraId="32D5E986" w14:textId="77777777" w:rsidTr="00F71BBF">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5002A8C"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26CF4D5" w14:textId="77777777" w:rsidR="00F35608" w:rsidRPr="00120199" w:rsidRDefault="00F35608" w:rsidP="00F71BBF">
            <w:pPr>
              <w:ind w:left="-30" w:right="75" w:hanging="15"/>
              <w:jc w:val="right"/>
              <w:rPr>
                <w:rFonts w:ascii="Arial" w:hAnsi="Arial" w:cs="Arial"/>
                <w:sz w:val="20"/>
                <w:szCs w:val="20"/>
              </w:rPr>
            </w:pPr>
            <w:r w:rsidRPr="00120199">
              <w:rPr>
                <w:rFonts w:ascii="Arial" w:hAnsi="Arial" w:cs="Arial"/>
                <w:sz w:val="20"/>
                <w:szCs w:val="20"/>
              </w:rPr>
              <w:t>310</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8F95D27" w14:textId="77777777" w:rsidR="00F35608" w:rsidRPr="00120199" w:rsidRDefault="00F35608" w:rsidP="00F71BBF">
            <w:pPr>
              <w:ind w:left="-30" w:right="75" w:hanging="15"/>
              <w:jc w:val="right"/>
              <w:rPr>
                <w:rFonts w:ascii="Arial" w:hAnsi="Arial" w:cs="Arial"/>
                <w:sz w:val="20"/>
                <w:szCs w:val="20"/>
              </w:rPr>
            </w:pPr>
            <w:r w:rsidRPr="00120199">
              <w:rPr>
                <w:rFonts w:ascii="Arial" w:hAnsi="Arial" w:cs="Arial"/>
                <w:sz w:val="20"/>
                <w:szCs w:val="20"/>
              </w:rPr>
              <w:t>272</w:t>
            </w:r>
          </w:p>
        </w:tc>
        <w:tc>
          <w:tcPr>
            <w:tcW w:w="1069" w:type="dxa"/>
            <w:tcBorders>
              <w:top w:val="nil"/>
              <w:left w:val="nil"/>
              <w:bottom w:val="nil"/>
              <w:right w:val="nil"/>
            </w:tcBorders>
            <w:shd w:val="clear" w:color="auto" w:fill="DEEAF6" w:themeFill="accent1" w:themeFillTint="33"/>
            <w:vAlign w:val="center"/>
          </w:tcPr>
          <w:p w14:paraId="11778FD7" w14:textId="77777777" w:rsidR="00F35608" w:rsidRPr="00120199" w:rsidRDefault="00F35608" w:rsidP="00F71BBF">
            <w:pPr>
              <w:ind w:left="-30" w:right="225" w:hanging="15"/>
              <w:jc w:val="right"/>
              <w:rPr>
                <w:rFonts w:ascii="Arial" w:hAnsi="Arial" w:cs="Arial"/>
                <w:sz w:val="20"/>
                <w:szCs w:val="20"/>
              </w:rPr>
            </w:pPr>
            <w:r w:rsidRPr="00120199">
              <w:rPr>
                <w:rFonts w:ascii="Arial" w:hAnsi="Arial" w:cs="Arial"/>
                <w:sz w:val="20"/>
                <w:szCs w:val="20"/>
              </w:rPr>
              <w:t>-12.3%</w:t>
            </w:r>
          </w:p>
        </w:tc>
      </w:tr>
      <w:tr w:rsidR="00F35608" w:rsidRPr="000A1E2F" w14:paraId="65689949" w14:textId="77777777" w:rsidTr="00F71BBF">
        <w:trPr>
          <w:trHeight w:val="288"/>
        </w:trPr>
        <w:tc>
          <w:tcPr>
            <w:tcW w:w="1440"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536C78EB"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Walworth</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0367B4E7" w14:textId="77777777" w:rsidR="00F35608" w:rsidRPr="00120199" w:rsidRDefault="00F35608" w:rsidP="00F71BBF">
            <w:pPr>
              <w:ind w:left="-30" w:right="75" w:hanging="15"/>
              <w:jc w:val="right"/>
              <w:rPr>
                <w:rFonts w:ascii="Arial" w:hAnsi="Arial" w:cs="Arial"/>
                <w:sz w:val="20"/>
                <w:szCs w:val="20"/>
              </w:rPr>
            </w:pPr>
            <w:r w:rsidRPr="00120199">
              <w:rPr>
                <w:rFonts w:ascii="Arial" w:hAnsi="Arial" w:cs="Arial"/>
                <w:sz w:val="20"/>
                <w:szCs w:val="20"/>
              </w:rPr>
              <w:t>247</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3C93BA1D" w14:textId="77777777" w:rsidR="00F35608" w:rsidRPr="00120199" w:rsidRDefault="00F35608" w:rsidP="00F71BBF">
            <w:pPr>
              <w:ind w:left="-30" w:right="75" w:hanging="15"/>
              <w:jc w:val="right"/>
              <w:rPr>
                <w:rFonts w:ascii="Arial" w:hAnsi="Arial" w:cs="Arial"/>
                <w:sz w:val="20"/>
                <w:szCs w:val="20"/>
              </w:rPr>
            </w:pPr>
            <w:r w:rsidRPr="00120199">
              <w:rPr>
                <w:rFonts w:ascii="Arial" w:hAnsi="Arial" w:cs="Arial"/>
                <w:sz w:val="20"/>
                <w:szCs w:val="20"/>
              </w:rPr>
              <w:t>180</w:t>
            </w:r>
          </w:p>
        </w:tc>
        <w:tc>
          <w:tcPr>
            <w:tcW w:w="1069" w:type="dxa"/>
            <w:tcBorders>
              <w:top w:val="nil"/>
              <w:left w:val="nil"/>
              <w:bottom w:val="nil"/>
              <w:right w:val="nil"/>
            </w:tcBorders>
            <w:shd w:val="clear" w:color="auto" w:fill="auto"/>
            <w:vAlign w:val="center"/>
          </w:tcPr>
          <w:p w14:paraId="0A57CD38" w14:textId="77777777" w:rsidR="00F35608" w:rsidRPr="00120199" w:rsidRDefault="00F35608" w:rsidP="00F71BBF">
            <w:pPr>
              <w:ind w:left="-30" w:right="225" w:hanging="15"/>
              <w:jc w:val="right"/>
              <w:rPr>
                <w:rFonts w:ascii="Arial" w:hAnsi="Arial" w:cs="Arial"/>
                <w:sz w:val="20"/>
                <w:szCs w:val="20"/>
              </w:rPr>
            </w:pPr>
            <w:r w:rsidRPr="00120199">
              <w:rPr>
                <w:rFonts w:ascii="Arial" w:hAnsi="Arial" w:cs="Arial"/>
                <w:sz w:val="20"/>
                <w:szCs w:val="20"/>
              </w:rPr>
              <w:t>-27.1%</w:t>
            </w:r>
          </w:p>
        </w:tc>
      </w:tr>
      <w:tr w:rsidR="00F35608" w:rsidRPr="000A1E2F" w14:paraId="1BF37B80" w14:textId="77777777" w:rsidTr="00F71BBF">
        <w:trPr>
          <w:trHeight w:val="288"/>
        </w:trPr>
        <w:tc>
          <w:tcPr>
            <w:tcW w:w="1440"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78CD6B58"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SE WI 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7B9C0966" w14:textId="77777777" w:rsidR="00F35608" w:rsidRPr="00120199" w:rsidRDefault="00F35608" w:rsidP="00F71BBF">
            <w:pPr>
              <w:ind w:left="-30" w:right="75" w:hanging="15"/>
              <w:jc w:val="right"/>
              <w:rPr>
                <w:rFonts w:ascii="Arial" w:hAnsi="Arial" w:cs="Arial"/>
                <w:sz w:val="20"/>
                <w:szCs w:val="20"/>
              </w:rPr>
            </w:pPr>
            <w:r w:rsidRPr="00120199">
              <w:rPr>
                <w:rFonts w:ascii="Arial" w:hAnsi="Arial" w:cs="Arial"/>
                <w:sz w:val="20"/>
                <w:szCs w:val="20"/>
              </w:rPr>
              <w:t>3,464</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2C2186C4" w14:textId="77777777" w:rsidR="00F35608" w:rsidRPr="00120199" w:rsidRDefault="00F35608" w:rsidP="00F71BBF">
            <w:pPr>
              <w:ind w:left="-30" w:right="75" w:hanging="15"/>
              <w:jc w:val="right"/>
              <w:rPr>
                <w:rFonts w:ascii="Arial" w:hAnsi="Arial" w:cs="Arial"/>
                <w:sz w:val="20"/>
                <w:szCs w:val="20"/>
              </w:rPr>
            </w:pPr>
            <w:r w:rsidRPr="00120199">
              <w:rPr>
                <w:rFonts w:ascii="Arial" w:hAnsi="Arial" w:cs="Arial"/>
                <w:sz w:val="20"/>
                <w:szCs w:val="20"/>
              </w:rPr>
              <w:t>3,340</w:t>
            </w:r>
          </w:p>
        </w:tc>
        <w:tc>
          <w:tcPr>
            <w:tcW w:w="1069" w:type="dxa"/>
            <w:tcBorders>
              <w:top w:val="nil"/>
              <w:left w:val="nil"/>
              <w:bottom w:val="nil"/>
              <w:right w:val="nil"/>
            </w:tcBorders>
            <w:shd w:val="clear" w:color="auto" w:fill="DEEAF6" w:themeFill="accent1" w:themeFillTint="33"/>
            <w:vAlign w:val="center"/>
          </w:tcPr>
          <w:p w14:paraId="1D3BD8A9" w14:textId="77777777" w:rsidR="00F35608" w:rsidRPr="00120199" w:rsidRDefault="00F35608" w:rsidP="00F71BBF">
            <w:pPr>
              <w:ind w:left="-30" w:right="225" w:hanging="15"/>
              <w:jc w:val="right"/>
              <w:rPr>
                <w:rFonts w:ascii="Arial" w:hAnsi="Arial" w:cs="Arial"/>
                <w:sz w:val="20"/>
                <w:szCs w:val="20"/>
              </w:rPr>
            </w:pPr>
            <w:r w:rsidRPr="00120199">
              <w:rPr>
                <w:rFonts w:ascii="Arial" w:hAnsi="Arial" w:cs="Arial"/>
                <w:sz w:val="20"/>
                <w:szCs w:val="20"/>
              </w:rPr>
              <w:t>-3.6%</w:t>
            </w:r>
          </w:p>
        </w:tc>
      </w:tr>
      <w:tr w:rsidR="00F35608" w:rsidRPr="000A1E2F" w14:paraId="2DAE2FE3" w14:textId="77777777" w:rsidTr="00F71BBF">
        <w:trPr>
          <w:trHeight w:val="288"/>
        </w:trPr>
        <w:tc>
          <w:tcPr>
            <w:tcW w:w="4367" w:type="dxa"/>
            <w:gridSpan w:val="4"/>
            <w:tcBorders>
              <w:top w:val="nil"/>
              <w:left w:val="nil"/>
              <w:bottom w:val="nil"/>
              <w:right w:val="nil"/>
            </w:tcBorders>
            <w:shd w:val="clear" w:color="auto" w:fill="auto"/>
            <w:tcMar>
              <w:top w:w="0" w:type="dxa"/>
              <w:left w:w="108" w:type="dxa"/>
              <w:bottom w:w="0" w:type="dxa"/>
              <w:right w:w="108" w:type="dxa"/>
            </w:tcMar>
            <w:vAlign w:val="center"/>
          </w:tcPr>
          <w:p w14:paraId="66D5A880" w14:textId="77777777" w:rsidR="00F35608" w:rsidRPr="000A1E2F" w:rsidRDefault="00F35608" w:rsidP="00F71BBF">
            <w:pPr>
              <w:ind w:left="-30" w:right="75" w:hanging="15"/>
              <w:rPr>
                <w:rFonts w:ascii="Arial" w:hAnsi="Arial" w:cs="Arial"/>
                <w:sz w:val="20"/>
                <w:szCs w:val="20"/>
              </w:rPr>
            </w:pPr>
          </w:p>
        </w:tc>
      </w:tr>
      <w:tr w:rsidR="00F35608" w:rsidRPr="000A1E2F" w14:paraId="7344C026" w14:textId="77777777" w:rsidTr="00F71BBF">
        <w:trPr>
          <w:trHeight w:val="288"/>
        </w:trPr>
        <w:tc>
          <w:tcPr>
            <w:tcW w:w="4367" w:type="dxa"/>
            <w:gridSpan w:val="4"/>
            <w:tcBorders>
              <w:top w:val="nil"/>
              <w:left w:val="nil"/>
              <w:bottom w:val="nil"/>
              <w:right w:val="nil"/>
            </w:tcBorders>
            <w:shd w:val="clear" w:color="auto" w:fill="auto"/>
            <w:tcMar>
              <w:top w:w="0" w:type="dxa"/>
              <w:left w:w="108" w:type="dxa"/>
              <w:bottom w:w="0" w:type="dxa"/>
              <w:right w:w="108" w:type="dxa"/>
            </w:tcMar>
            <w:vAlign w:val="center"/>
          </w:tcPr>
          <w:p w14:paraId="0E6FD4D6" w14:textId="77777777" w:rsidR="00F35608" w:rsidRPr="000A1E2F" w:rsidRDefault="00F35608" w:rsidP="00F71BBF">
            <w:pPr>
              <w:ind w:left="-30" w:right="75" w:hanging="15"/>
              <w:rPr>
                <w:rFonts w:ascii="Arial" w:hAnsi="Arial" w:cs="Arial"/>
                <w:sz w:val="20"/>
                <w:szCs w:val="20"/>
              </w:rPr>
            </w:pPr>
            <w:r>
              <w:rPr>
                <w:rFonts w:ascii="Arial" w:hAnsi="Arial" w:cs="Arial"/>
                <w:b/>
                <w:sz w:val="20"/>
                <w:szCs w:val="20"/>
              </w:rPr>
              <w:t>2021</w:t>
            </w:r>
            <w:r w:rsidRPr="000A1E2F">
              <w:rPr>
                <w:rFonts w:ascii="Arial" w:hAnsi="Arial" w:cs="Arial"/>
                <w:b/>
                <w:sz w:val="20"/>
                <w:szCs w:val="20"/>
              </w:rPr>
              <w:t xml:space="preserve"> Listings</w:t>
            </w:r>
            <w:r w:rsidRPr="000A1E2F">
              <w:rPr>
                <w:rFonts w:ascii="Arial" w:hAnsi="Arial" w:cs="Arial"/>
                <w:bCs/>
                <w:sz w:val="20"/>
                <w:szCs w:val="20"/>
              </w:rPr>
              <w:t>*</w:t>
            </w:r>
            <w:r w:rsidRPr="000A1E2F">
              <w:rPr>
                <w:rFonts w:ascii="Arial" w:hAnsi="Arial" w:cs="Arial"/>
                <w:b/>
                <w:sz w:val="20"/>
                <w:szCs w:val="20"/>
              </w:rPr>
              <w:t xml:space="preserve"> </w:t>
            </w:r>
          </w:p>
        </w:tc>
      </w:tr>
      <w:tr w:rsidR="00F35608" w:rsidRPr="000A1E2F" w14:paraId="5ED60E5F" w14:textId="77777777" w:rsidTr="00F71BBF">
        <w:trPr>
          <w:trHeight w:val="288"/>
        </w:trPr>
        <w:tc>
          <w:tcPr>
            <w:tcW w:w="1440" w:type="dxa"/>
            <w:tcBorders>
              <w:top w:val="nil"/>
              <w:left w:val="nil"/>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2F8C6AAA" w14:textId="77777777" w:rsidR="00F35608" w:rsidRPr="00256F5E" w:rsidRDefault="00F35608" w:rsidP="00F71BBF">
            <w:pPr>
              <w:ind w:left="-30" w:right="75" w:hanging="15"/>
              <w:jc w:val="center"/>
              <w:rPr>
                <w:rFonts w:cstheme="minorHAnsi"/>
                <w:b/>
              </w:rPr>
            </w:pPr>
            <w:r w:rsidRPr="00256F5E">
              <w:rPr>
                <w:rFonts w:cstheme="minorHAnsi"/>
                <w:b/>
                <w:color w:val="FFFFFF" w:themeColor="background1"/>
              </w:rPr>
              <w:t>County</w:t>
            </w:r>
          </w:p>
        </w:tc>
        <w:tc>
          <w:tcPr>
            <w:tcW w:w="92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38E4D526" w14:textId="77777777" w:rsidR="00F35608" w:rsidRPr="00256F5E" w:rsidRDefault="00F35608" w:rsidP="00F71BBF">
            <w:pPr>
              <w:ind w:left="-30" w:right="75" w:hanging="15"/>
              <w:jc w:val="center"/>
              <w:rPr>
                <w:rFonts w:cstheme="minorHAnsi"/>
              </w:rPr>
            </w:pPr>
            <w:r w:rsidRPr="00256F5E">
              <w:rPr>
                <w:rFonts w:cstheme="minorHAnsi"/>
                <w:color w:val="FFFFFF" w:themeColor="background1"/>
              </w:rPr>
              <w:t>2020</w:t>
            </w:r>
          </w:p>
        </w:tc>
        <w:tc>
          <w:tcPr>
            <w:tcW w:w="92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3DD1E108" w14:textId="77777777" w:rsidR="00F35608" w:rsidRPr="00256F5E" w:rsidRDefault="00F35608" w:rsidP="00F71BBF">
            <w:pPr>
              <w:ind w:left="-30" w:right="75" w:hanging="15"/>
              <w:jc w:val="center"/>
              <w:rPr>
                <w:rFonts w:cstheme="minorHAnsi"/>
              </w:rPr>
            </w:pPr>
            <w:r w:rsidRPr="00256F5E">
              <w:rPr>
                <w:rFonts w:cstheme="minorHAnsi"/>
                <w:color w:val="FFFFFF" w:themeColor="background1"/>
              </w:rPr>
              <w:t>2021</w:t>
            </w:r>
          </w:p>
        </w:tc>
        <w:tc>
          <w:tcPr>
            <w:tcW w:w="1069" w:type="dxa"/>
            <w:tcBorders>
              <w:top w:val="nil"/>
              <w:left w:val="single" w:sz="12" w:space="0" w:color="FFFFFF" w:themeColor="background1"/>
              <w:bottom w:val="single" w:sz="12" w:space="0" w:color="FFFFFF" w:themeColor="background1"/>
              <w:right w:val="nil"/>
            </w:tcBorders>
            <w:shd w:val="clear" w:color="auto" w:fill="1F4E79" w:themeFill="accent1" w:themeFillShade="80"/>
            <w:vAlign w:val="center"/>
          </w:tcPr>
          <w:p w14:paraId="37B2BBA9" w14:textId="77777777" w:rsidR="00F35608" w:rsidRPr="00256F5E" w:rsidRDefault="00F35608" w:rsidP="00F71BBF">
            <w:pPr>
              <w:ind w:left="-30" w:right="75" w:hanging="15"/>
              <w:jc w:val="right"/>
              <w:rPr>
                <w:rFonts w:cstheme="minorHAnsi"/>
              </w:rPr>
            </w:pPr>
            <w:r w:rsidRPr="00256F5E">
              <w:rPr>
                <w:rFonts w:cstheme="minorHAnsi"/>
                <w:color w:val="FFFFFF" w:themeColor="background1"/>
              </w:rPr>
              <w:t>% Change</w:t>
            </w:r>
          </w:p>
        </w:tc>
      </w:tr>
      <w:tr w:rsidR="00F35608" w:rsidRPr="000A1E2F" w14:paraId="0131CEDD" w14:textId="77777777" w:rsidTr="00F71BBF">
        <w:trPr>
          <w:trHeight w:val="288"/>
        </w:trPr>
        <w:tc>
          <w:tcPr>
            <w:tcW w:w="1440"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center"/>
          </w:tcPr>
          <w:p w14:paraId="54F23365" w14:textId="77777777" w:rsidR="00F35608" w:rsidRPr="000A1E2F" w:rsidRDefault="00F35608" w:rsidP="00F71BBF">
            <w:pPr>
              <w:ind w:left="-30" w:right="75" w:hanging="15"/>
              <w:rPr>
                <w:rFonts w:ascii="Arial" w:hAnsi="Arial" w:cs="Arial"/>
                <w:b/>
                <w:sz w:val="20"/>
                <w:szCs w:val="20"/>
              </w:rPr>
            </w:pPr>
            <w:r w:rsidRPr="000A1E2F">
              <w:rPr>
                <w:rFonts w:ascii="Arial" w:hAnsi="Arial" w:cs="Arial"/>
                <w:sz w:val="20"/>
                <w:szCs w:val="20"/>
              </w:rPr>
              <w:t>Milwaukee</w:t>
            </w:r>
          </w:p>
        </w:tc>
        <w:tc>
          <w:tcPr>
            <w:tcW w:w="929"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center"/>
          </w:tcPr>
          <w:p w14:paraId="6AAA7E35" w14:textId="77777777" w:rsidR="00F35608" w:rsidRPr="009E2EEB" w:rsidRDefault="00F35608" w:rsidP="00F71BBF">
            <w:pPr>
              <w:ind w:left="-30" w:right="75" w:hanging="15"/>
              <w:jc w:val="right"/>
              <w:rPr>
                <w:rFonts w:ascii="Arial" w:hAnsi="Arial" w:cs="Arial"/>
                <w:sz w:val="20"/>
                <w:szCs w:val="20"/>
              </w:rPr>
            </w:pPr>
            <w:r w:rsidRPr="005D0F82">
              <w:t xml:space="preserve"> 4,805 </w:t>
            </w:r>
          </w:p>
        </w:tc>
        <w:tc>
          <w:tcPr>
            <w:tcW w:w="929"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center"/>
          </w:tcPr>
          <w:p w14:paraId="29B8B343" w14:textId="77777777" w:rsidR="00F35608" w:rsidRPr="009E2EEB" w:rsidRDefault="00F35608" w:rsidP="00F71BBF">
            <w:pPr>
              <w:ind w:left="-30" w:right="75" w:hanging="15"/>
              <w:jc w:val="right"/>
              <w:rPr>
                <w:rFonts w:ascii="Arial" w:hAnsi="Arial" w:cs="Arial"/>
                <w:sz w:val="20"/>
                <w:szCs w:val="20"/>
              </w:rPr>
            </w:pPr>
            <w:r w:rsidRPr="005D0F82">
              <w:t xml:space="preserve"> 6,709 </w:t>
            </w:r>
          </w:p>
        </w:tc>
        <w:tc>
          <w:tcPr>
            <w:tcW w:w="1069" w:type="dxa"/>
            <w:tcBorders>
              <w:top w:val="single" w:sz="12" w:space="0" w:color="FFFFFF" w:themeColor="background1"/>
              <w:left w:val="nil"/>
              <w:bottom w:val="nil"/>
              <w:right w:val="nil"/>
            </w:tcBorders>
            <w:shd w:val="clear" w:color="auto" w:fill="auto"/>
            <w:vAlign w:val="center"/>
          </w:tcPr>
          <w:p w14:paraId="2DC1DC6B" w14:textId="77777777" w:rsidR="00F35608" w:rsidRPr="009E2EEB" w:rsidRDefault="00F35608" w:rsidP="00F71BBF">
            <w:pPr>
              <w:ind w:left="-30" w:right="225" w:hanging="15"/>
              <w:jc w:val="right"/>
              <w:rPr>
                <w:rFonts w:ascii="Arial" w:hAnsi="Arial" w:cs="Arial"/>
                <w:sz w:val="20"/>
                <w:szCs w:val="20"/>
              </w:rPr>
            </w:pPr>
            <w:r w:rsidRPr="005D0F82">
              <w:t>12.9%</w:t>
            </w:r>
          </w:p>
        </w:tc>
      </w:tr>
      <w:tr w:rsidR="00F35608" w:rsidRPr="000A1E2F" w14:paraId="17689E5E" w14:textId="77777777" w:rsidTr="00F71BBF">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ED9AD87"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FE30B8E" w14:textId="77777777" w:rsidR="00F35608" w:rsidRPr="009E2EEB" w:rsidRDefault="00F35608" w:rsidP="00F71BBF">
            <w:pPr>
              <w:ind w:left="-30" w:right="75" w:hanging="15"/>
              <w:jc w:val="right"/>
              <w:rPr>
                <w:rFonts w:ascii="Arial" w:hAnsi="Arial" w:cs="Arial"/>
                <w:sz w:val="20"/>
                <w:szCs w:val="20"/>
              </w:rPr>
            </w:pPr>
            <w:r w:rsidRPr="005D0F82">
              <w:t xml:space="preserve"> 7,151 </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43F212D" w14:textId="77777777" w:rsidR="00F35608" w:rsidRPr="009E2EEB" w:rsidRDefault="00F35608" w:rsidP="00F71BBF">
            <w:pPr>
              <w:ind w:left="-30" w:right="75" w:hanging="15"/>
              <w:jc w:val="right"/>
              <w:rPr>
                <w:rFonts w:ascii="Arial" w:hAnsi="Arial" w:cs="Arial"/>
                <w:sz w:val="20"/>
                <w:szCs w:val="20"/>
              </w:rPr>
            </w:pPr>
            <w:r w:rsidRPr="005D0F82">
              <w:t xml:space="preserve"> 6,897 </w:t>
            </w:r>
          </w:p>
        </w:tc>
        <w:tc>
          <w:tcPr>
            <w:tcW w:w="1069" w:type="dxa"/>
            <w:tcBorders>
              <w:top w:val="nil"/>
              <w:left w:val="nil"/>
              <w:bottom w:val="nil"/>
              <w:right w:val="nil"/>
            </w:tcBorders>
            <w:shd w:val="clear" w:color="auto" w:fill="DEEAF6" w:themeFill="accent1" w:themeFillTint="33"/>
            <w:vAlign w:val="center"/>
          </w:tcPr>
          <w:p w14:paraId="74E885F9" w14:textId="77777777" w:rsidR="00F35608" w:rsidRPr="009E2EEB" w:rsidRDefault="00F35608" w:rsidP="00F71BBF">
            <w:pPr>
              <w:ind w:left="-30" w:right="225" w:hanging="15"/>
              <w:jc w:val="right"/>
              <w:rPr>
                <w:rFonts w:ascii="Arial" w:hAnsi="Arial" w:cs="Arial"/>
                <w:sz w:val="20"/>
                <w:szCs w:val="20"/>
              </w:rPr>
            </w:pPr>
            <w:r w:rsidRPr="005D0F82">
              <w:t>-3.6%</w:t>
            </w:r>
          </w:p>
        </w:tc>
      </w:tr>
      <w:tr w:rsidR="00F35608" w:rsidRPr="000A1E2F" w14:paraId="3EDFF1D1" w14:textId="77777777" w:rsidTr="00F71BBF">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tcPr>
          <w:p w14:paraId="239027D5"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Washington</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C54EC3F" w14:textId="77777777" w:rsidR="00F35608" w:rsidRPr="009E2EEB" w:rsidRDefault="00F35608" w:rsidP="00F71BBF">
            <w:pPr>
              <w:ind w:left="-30" w:right="75" w:hanging="15"/>
              <w:jc w:val="right"/>
              <w:rPr>
                <w:rFonts w:ascii="Arial" w:hAnsi="Arial" w:cs="Arial"/>
                <w:sz w:val="20"/>
                <w:szCs w:val="20"/>
              </w:rPr>
            </w:pPr>
            <w:r w:rsidRPr="005D0F82">
              <w:t xml:space="preserve"> 2,400 </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10F80CE0" w14:textId="77777777" w:rsidR="00F35608" w:rsidRPr="009E2EEB" w:rsidRDefault="00F35608" w:rsidP="00F71BBF">
            <w:pPr>
              <w:ind w:left="-30" w:right="75" w:hanging="15"/>
              <w:jc w:val="right"/>
              <w:rPr>
                <w:rFonts w:ascii="Arial" w:hAnsi="Arial" w:cs="Arial"/>
                <w:sz w:val="20"/>
                <w:szCs w:val="20"/>
              </w:rPr>
            </w:pPr>
            <w:r w:rsidRPr="005D0F82">
              <w:t xml:space="preserve"> 2,469 </w:t>
            </w:r>
          </w:p>
        </w:tc>
        <w:tc>
          <w:tcPr>
            <w:tcW w:w="1069" w:type="dxa"/>
            <w:tcBorders>
              <w:top w:val="nil"/>
              <w:left w:val="nil"/>
              <w:bottom w:val="nil"/>
              <w:right w:val="nil"/>
            </w:tcBorders>
            <w:shd w:val="clear" w:color="auto" w:fill="auto"/>
            <w:vAlign w:val="center"/>
          </w:tcPr>
          <w:p w14:paraId="171294B7" w14:textId="77777777" w:rsidR="00F35608" w:rsidRPr="009E2EEB" w:rsidRDefault="00F35608" w:rsidP="00F71BBF">
            <w:pPr>
              <w:ind w:left="-30" w:right="225" w:hanging="15"/>
              <w:jc w:val="right"/>
              <w:rPr>
                <w:rFonts w:ascii="Arial" w:hAnsi="Arial" w:cs="Arial"/>
                <w:sz w:val="20"/>
                <w:szCs w:val="20"/>
              </w:rPr>
            </w:pPr>
            <w:r w:rsidRPr="005D0F82">
              <w:t>2.9%</w:t>
            </w:r>
          </w:p>
        </w:tc>
      </w:tr>
      <w:tr w:rsidR="00F35608" w:rsidRPr="000A1E2F" w14:paraId="75764482" w14:textId="77777777" w:rsidTr="00F71BBF">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04CC7C0"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Ozaukee</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C97EF03" w14:textId="77777777" w:rsidR="00F35608" w:rsidRPr="009E2EEB" w:rsidRDefault="00F35608" w:rsidP="00F71BBF">
            <w:pPr>
              <w:ind w:left="-30" w:right="75" w:hanging="15"/>
              <w:jc w:val="right"/>
              <w:rPr>
                <w:rFonts w:ascii="Arial" w:hAnsi="Arial" w:cs="Arial"/>
                <w:sz w:val="20"/>
                <w:szCs w:val="20"/>
              </w:rPr>
            </w:pPr>
            <w:r w:rsidRPr="005D0F82">
              <w:t xml:space="preserve"> 1,712 </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BB90CE6" w14:textId="77777777" w:rsidR="00F35608" w:rsidRPr="009E2EEB" w:rsidRDefault="00F35608" w:rsidP="00F71BBF">
            <w:pPr>
              <w:ind w:left="-30" w:right="75" w:hanging="15"/>
              <w:jc w:val="right"/>
              <w:rPr>
                <w:rFonts w:ascii="Arial" w:hAnsi="Arial" w:cs="Arial"/>
                <w:sz w:val="20"/>
                <w:szCs w:val="20"/>
              </w:rPr>
            </w:pPr>
            <w:r w:rsidRPr="005D0F82">
              <w:t xml:space="preserve"> 1,562 </w:t>
            </w:r>
          </w:p>
        </w:tc>
        <w:tc>
          <w:tcPr>
            <w:tcW w:w="1069" w:type="dxa"/>
            <w:tcBorders>
              <w:top w:val="nil"/>
              <w:left w:val="nil"/>
              <w:bottom w:val="nil"/>
              <w:right w:val="nil"/>
            </w:tcBorders>
            <w:shd w:val="clear" w:color="auto" w:fill="DEEAF6" w:themeFill="accent1" w:themeFillTint="33"/>
            <w:vAlign w:val="center"/>
          </w:tcPr>
          <w:p w14:paraId="45309FFB" w14:textId="77777777" w:rsidR="00F35608" w:rsidRPr="009E2EEB" w:rsidRDefault="00F35608" w:rsidP="00F71BBF">
            <w:pPr>
              <w:ind w:left="-30" w:right="225" w:hanging="15"/>
              <w:jc w:val="right"/>
              <w:rPr>
                <w:rFonts w:ascii="Arial" w:hAnsi="Arial" w:cs="Arial"/>
                <w:sz w:val="20"/>
                <w:szCs w:val="20"/>
              </w:rPr>
            </w:pPr>
            <w:r w:rsidRPr="005D0F82">
              <w:t>-8.8%</w:t>
            </w:r>
          </w:p>
        </w:tc>
      </w:tr>
      <w:tr w:rsidR="00F35608" w:rsidRPr="000A1E2F" w14:paraId="03054BDF" w14:textId="77777777" w:rsidTr="00F71BBF">
        <w:trPr>
          <w:trHeight w:val="288"/>
        </w:trPr>
        <w:tc>
          <w:tcPr>
            <w:tcW w:w="1440"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552F37BF"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Metro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0F7A726E" w14:textId="77777777" w:rsidR="00F35608" w:rsidRPr="009E2EEB" w:rsidRDefault="00F35608" w:rsidP="00F71BBF">
            <w:pPr>
              <w:ind w:left="-30" w:right="75" w:hanging="15"/>
              <w:jc w:val="right"/>
              <w:rPr>
                <w:rFonts w:ascii="Arial" w:hAnsi="Arial" w:cs="Arial"/>
                <w:sz w:val="20"/>
                <w:szCs w:val="20"/>
              </w:rPr>
            </w:pPr>
            <w:r>
              <w:t>2</w:t>
            </w:r>
            <w:r w:rsidRPr="005D0F82">
              <w:t xml:space="preserve">6,068 </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6784A9D8" w14:textId="77777777" w:rsidR="00F35608" w:rsidRPr="009E2EEB" w:rsidRDefault="00F35608" w:rsidP="00F71BBF">
            <w:pPr>
              <w:ind w:left="-30" w:right="75" w:hanging="15"/>
              <w:jc w:val="right"/>
              <w:rPr>
                <w:rFonts w:ascii="Arial" w:hAnsi="Arial" w:cs="Arial"/>
                <w:sz w:val="20"/>
                <w:szCs w:val="20"/>
              </w:rPr>
            </w:pPr>
            <w:r>
              <w:t>2</w:t>
            </w:r>
            <w:r w:rsidRPr="005D0F82">
              <w:t xml:space="preserve">7,637 </w:t>
            </w:r>
          </w:p>
        </w:tc>
        <w:tc>
          <w:tcPr>
            <w:tcW w:w="1069" w:type="dxa"/>
            <w:tcBorders>
              <w:top w:val="nil"/>
              <w:left w:val="nil"/>
              <w:bottom w:val="nil"/>
              <w:right w:val="nil"/>
            </w:tcBorders>
            <w:shd w:val="clear" w:color="auto" w:fill="auto"/>
            <w:vAlign w:val="center"/>
          </w:tcPr>
          <w:p w14:paraId="6774B309" w14:textId="77777777" w:rsidR="00F35608" w:rsidRPr="009E2EEB" w:rsidRDefault="00F35608" w:rsidP="00F71BBF">
            <w:pPr>
              <w:ind w:left="-30" w:right="225" w:hanging="15"/>
              <w:jc w:val="right"/>
              <w:rPr>
                <w:rFonts w:ascii="Arial" w:hAnsi="Arial" w:cs="Arial"/>
                <w:sz w:val="20"/>
                <w:szCs w:val="20"/>
              </w:rPr>
            </w:pPr>
            <w:r w:rsidRPr="005D0F82">
              <w:t>6.0%</w:t>
            </w:r>
          </w:p>
        </w:tc>
      </w:tr>
      <w:tr w:rsidR="00F35608" w:rsidRPr="000A1E2F" w14:paraId="0EE9E0F3" w14:textId="77777777" w:rsidTr="00F71BBF">
        <w:trPr>
          <w:trHeight w:val="90"/>
        </w:trPr>
        <w:tc>
          <w:tcPr>
            <w:tcW w:w="4367"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D3C5731" w14:textId="77777777" w:rsidR="00F35608" w:rsidRPr="003F1A08" w:rsidRDefault="00F35608" w:rsidP="00F71BBF">
            <w:pPr>
              <w:ind w:left="-30" w:right="225" w:hanging="15"/>
              <w:jc w:val="right"/>
              <w:rPr>
                <w:rFonts w:ascii="Arial" w:hAnsi="Arial" w:cs="Arial"/>
                <w:sz w:val="10"/>
                <w:szCs w:val="10"/>
              </w:rPr>
            </w:pPr>
          </w:p>
        </w:tc>
      </w:tr>
      <w:tr w:rsidR="00F35608" w:rsidRPr="000A1E2F" w14:paraId="3752CA21" w14:textId="77777777" w:rsidTr="00F71BBF">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tcPr>
          <w:p w14:paraId="3D679548"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Racine</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49D6BE2D" w14:textId="77777777" w:rsidR="00F35608" w:rsidRPr="009E2EEB" w:rsidRDefault="00F35608" w:rsidP="00F71BBF">
            <w:pPr>
              <w:ind w:left="-30" w:right="75" w:hanging="15"/>
              <w:jc w:val="right"/>
              <w:rPr>
                <w:rFonts w:ascii="Arial" w:hAnsi="Arial" w:cs="Arial"/>
                <w:sz w:val="20"/>
                <w:szCs w:val="20"/>
              </w:rPr>
            </w:pPr>
            <w:r w:rsidRPr="00F17188">
              <w:t xml:space="preserve"> 3,591 </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4E4AA814" w14:textId="77777777" w:rsidR="00F35608" w:rsidRPr="009E2EEB" w:rsidRDefault="00F35608" w:rsidP="00F71BBF">
            <w:pPr>
              <w:ind w:left="-30" w:right="75" w:hanging="15"/>
              <w:jc w:val="right"/>
              <w:rPr>
                <w:rFonts w:ascii="Arial" w:hAnsi="Arial" w:cs="Arial"/>
                <w:sz w:val="20"/>
                <w:szCs w:val="20"/>
              </w:rPr>
            </w:pPr>
            <w:r w:rsidRPr="00F17188">
              <w:t xml:space="preserve"> 3,850 </w:t>
            </w:r>
          </w:p>
        </w:tc>
        <w:tc>
          <w:tcPr>
            <w:tcW w:w="1069" w:type="dxa"/>
            <w:tcBorders>
              <w:top w:val="nil"/>
              <w:left w:val="nil"/>
              <w:bottom w:val="nil"/>
              <w:right w:val="nil"/>
            </w:tcBorders>
            <w:shd w:val="clear" w:color="auto" w:fill="auto"/>
            <w:vAlign w:val="center"/>
          </w:tcPr>
          <w:p w14:paraId="211ED80A" w14:textId="77777777" w:rsidR="00F35608" w:rsidRPr="009E2EEB" w:rsidRDefault="00F35608" w:rsidP="00F71BBF">
            <w:pPr>
              <w:ind w:left="-30" w:right="225" w:hanging="15"/>
              <w:jc w:val="right"/>
              <w:rPr>
                <w:rFonts w:ascii="Arial" w:hAnsi="Arial" w:cs="Arial"/>
                <w:sz w:val="20"/>
                <w:szCs w:val="20"/>
              </w:rPr>
            </w:pPr>
            <w:r w:rsidRPr="00F17188">
              <w:t>7.2%</w:t>
            </w:r>
          </w:p>
        </w:tc>
      </w:tr>
      <w:tr w:rsidR="00F35608" w:rsidRPr="000A1E2F" w14:paraId="373B8B16" w14:textId="77777777" w:rsidTr="00F71BBF">
        <w:trPr>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E212D4D"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9D3D097" w14:textId="77777777" w:rsidR="00F35608" w:rsidRPr="009E2EEB" w:rsidRDefault="00F35608" w:rsidP="00F71BBF">
            <w:pPr>
              <w:ind w:left="-30" w:right="75" w:hanging="15"/>
              <w:jc w:val="right"/>
              <w:rPr>
                <w:rFonts w:ascii="Arial" w:hAnsi="Arial" w:cs="Arial"/>
                <w:sz w:val="20"/>
                <w:szCs w:val="20"/>
              </w:rPr>
            </w:pPr>
            <w:r w:rsidRPr="00F17188">
              <w:t xml:space="preserve"> 2,903 </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DF6272B" w14:textId="77777777" w:rsidR="00F35608" w:rsidRPr="009E2EEB" w:rsidRDefault="00F35608" w:rsidP="00F71BBF">
            <w:pPr>
              <w:ind w:left="-30" w:right="75" w:hanging="15"/>
              <w:jc w:val="right"/>
              <w:rPr>
                <w:rFonts w:ascii="Arial" w:hAnsi="Arial" w:cs="Arial"/>
                <w:sz w:val="20"/>
                <w:szCs w:val="20"/>
              </w:rPr>
            </w:pPr>
            <w:r w:rsidRPr="00F17188">
              <w:t xml:space="preserve"> 2,992 </w:t>
            </w:r>
          </w:p>
        </w:tc>
        <w:tc>
          <w:tcPr>
            <w:tcW w:w="1069" w:type="dxa"/>
            <w:tcBorders>
              <w:top w:val="nil"/>
              <w:left w:val="nil"/>
              <w:bottom w:val="nil"/>
              <w:right w:val="nil"/>
            </w:tcBorders>
            <w:shd w:val="clear" w:color="auto" w:fill="DEEAF6" w:themeFill="accent1" w:themeFillTint="33"/>
            <w:vAlign w:val="center"/>
          </w:tcPr>
          <w:p w14:paraId="57496F31" w14:textId="77777777" w:rsidR="00F35608" w:rsidRPr="009E2EEB" w:rsidRDefault="00F35608" w:rsidP="00F71BBF">
            <w:pPr>
              <w:ind w:left="-30" w:right="225" w:hanging="15"/>
              <w:jc w:val="right"/>
              <w:rPr>
                <w:rFonts w:ascii="Arial" w:hAnsi="Arial" w:cs="Arial"/>
                <w:sz w:val="20"/>
                <w:szCs w:val="20"/>
              </w:rPr>
            </w:pPr>
            <w:r w:rsidRPr="00F17188">
              <w:t>3.1%</w:t>
            </w:r>
          </w:p>
        </w:tc>
      </w:tr>
      <w:tr w:rsidR="00F35608" w:rsidRPr="000A1E2F" w14:paraId="56232315" w14:textId="77777777" w:rsidTr="00F71BBF">
        <w:trPr>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tcPr>
          <w:p w14:paraId="02538E22"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Walworth</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5A80583C" w14:textId="77777777" w:rsidR="00F35608" w:rsidRPr="009E2EEB" w:rsidRDefault="00F35608" w:rsidP="00F71BBF">
            <w:pPr>
              <w:ind w:left="-30" w:right="75" w:hanging="15"/>
              <w:jc w:val="right"/>
              <w:rPr>
                <w:rFonts w:ascii="Arial" w:hAnsi="Arial" w:cs="Arial"/>
                <w:sz w:val="20"/>
                <w:szCs w:val="20"/>
              </w:rPr>
            </w:pPr>
            <w:r w:rsidRPr="00F17188">
              <w:t xml:space="preserve"> 2,361 </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08C5E43F" w14:textId="77777777" w:rsidR="00F35608" w:rsidRPr="009E2EEB" w:rsidRDefault="00F35608" w:rsidP="00F71BBF">
            <w:pPr>
              <w:ind w:left="-30" w:right="75" w:hanging="15"/>
              <w:jc w:val="right"/>
              <w:rPr>
                <w:rFonts w:ascii="Arial" w:hAnsi="Arial" w:cs="Arial"/>
                <w:sz w:val="20"/>
                <w:szCs w:val="20"/>
              </w:rPr>
            </w:pPr>
            <w:r w:rsidRPr="00F17188">
              <w:t xml:space="preserve"> 2,264 </w:t>
            </w:r>
          </w:p>
        </w:tc>
        <w:tc>
          <w:tcPr>
            <w:tcW w:w="1069" w:type="dxa"/>
            <w:tcBorders>
              <w:top w:val="nil"/>
              <w:left w:val="nil"/>
              <w:bottom w:val="nil"/>
              <w:right w:val="nil"/>
            </w:tcBorders>
            <w:shd w:val="clear" w:color="auto" w:fill="auto"/>
            <w:vAlign w:val="center"/>
          </w:tcPr>
          <w:p w14:paraId="2AD20554" w14:textId="77777777" w:rsidR="00F35608" w:rsidRPr="009E2EEB" w:rsidRDefault="00F35608" w:rsidP="00F71BBF">
            <w:pPr>
              <w:ind w:left="-30" w:right="225" w:hanging="15"/>
              <w:jc w:val="right"/>
              <w:rPr>
                <w:rFonts w:ascii="Arial" w:hAnsi="Arial" w:cs="Arial"/>
                <w:sz w:val="20"/>
                <w:szCs w:val="20"/>
              </w:rPr>
            </w:pPr>
            <w:r w:rsidRPr="00F17188">
              <w:t>-4.1%</w:t>
            </w:r>
          </w:p>
        </w:tc>
      </w:tr>
      <w:tr w:rsidR="00F35608" w:rsidRPr="000A1E2F" w14:paraId="4576BFAA" w14:textId="77777777" w:rsidTr="00F71BBF">
        <w:trPr>
          <w:trHeight w:val="288"/>
        </w:trPr>
        <w:tc>
          <w:tcPr>
            <w:tcW w:w="1440"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D05C5FB" w14:textId="77777777" w:rsidR="00F35608" w:rsidRPr="000A1E2F" w:rsidRDefault="00F35608" w:rsidP="00F71BBF">
            <w:pPr>
              <w:ind w:left="-30" w:right="75" w:hanging="15"/>
              <w:rPr>
                <w:rFonts w:ascii="Arial" w:hAnsi="Arial" w:cs="Arial"/>
                <w:sz w:val="20"/>
                <w:szCs w:val="20"/>
              </w:rPr>
            </w:pPr>
            <w:r w:rsidRPr="000A1E2F">
              <w:rPr>
                <w:rFonts w:ascii="Arial" w:hAnsi="Arial" w:cs="Arial"/>
                <w:sz w:val="20"/>
                <w:szCs w:val="20"/>
              </w:rPr>
              <w:t>SE WI 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0188F080" w14:textId="77777777" w:rsidR="00F35608" w:rsidRPr="009E2EEB" w:rsidRDefault="00F35608" w:rsidP="00F71BBF">
            <w:pPr>
              <w:ind w:left="-30" w:right="75" w:hanging="15"/>
              <w:jc w:val="right"/>
              <w:rPr>
                <w:rFonts w:ascii="Arial" w:hAnsi="Arial" w:cs="Arial"/>
                <w:sz w:val="20"/>
                <w:szCs w:val="20"/>
              </w:rPr>
            </w:pPr>
            <w:r w:rsidRPr="00F17188">
              <w:t>34,923</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7D7F0875" w14:textId="77777777" w:rsidR="00F35608" w:rsidRPr="009E2EEB" w:rsidRDefault="00F35608" w:rsidP="00F71BBF">
            <w:pPr>
              <w:ind w:left="-30" w:right="75" w:hanging="15"/>
              <w:jc w:val="right"/>
              <w:rPr>
                <w:rFonts w:ascii="Arial" w:hAnsi="Arial" w:cs="Arial"/>
                <w:sz w:val="20"/>
                <w:szCs w:val="20"/>
              </w:rPr>
            </w:pPr>
            <w:r w:rsidRPr="00F17188">
              <w:t>36,743</w:t>
            </w:r>
          </w:p>
        </w:tc>
        <w:tc>
          <w:tcPr>
            <w:tcW w:w="1069" w:type="dxa"/>
            <w:tcBorders>
              <w:top w:val="nil"/>
              <w:left w:val="nil"/>
              <w:bottom w:val="nil"/>
              <w:right w:val="nil"/>
            </w:tcBorders>
            <w:shd w:val="clear" w:color="auto" w:fill="DEEAF6" w:themeFill="accent1" w:themeFillTint="33"/>
            <w:vAlign w:val="center"/>
          </w:tcPr>
          <w:p w14:paraId="0D7465EC" w14:textId="77777777" w:rsidR="00F35608" w:rsidRPr="009E2EEB" w:rsidRDefault="00F35608" w:rsidP="00F71BBF">
            <w:pPr>
              <w:ind w:left="-30" w:right="225" w:hanging="15"/>
              <w:jc w:val="right"/>
              <w:rPr>
                <w:rFonts w:ascii="Arial" w:hAnsi="Arial" w:cs="Arial"/>
                <w:sz w:val="20"/>
                <w:szCs w:val="20"/>
              </w:rPr>
            </w:pPr>
            <w:r w:rsidRPr="00F17188">
              <w:t>5.2%</w:t>
            </w:r>
          </w:p>
        </w:tc>
      </w:tr>
    </w:tbl>
    <w:p w14:paraId="79E12665" w14:textId="22DC1D62" w:rsidR="00BD363D" w:rsidRPr="000A1E2F" w:rsidRDefault="00A07F36" w:rsidP="000A1E2F">
      <w:pPr>
        <w:spacing w:before="120" w:after="120" w:line="300" w:lineRule="auto"/>
        <w:ind w:left="-360" w:right="-360"/>
        <w:contextualSpacing/>
        <w:rPr>
          <w:rFonts w:ascii="Arial" w:hAnsi="Arial" w:cs="Arial"/>
          <w:sz w:val="21"/>
          <w:szCs w:val="21"/>
        </w:rPr>
      </w:pPr>
      <w:r>
        <w:rPr>
          <w:rFonts w:ascii="Arial" w:hAnsi="Arial" w:cs="Arial"/>
          <w:sz w:val="21"/>
          <w:szCs w:val="21"/>
        </w:rPr>
        <w:t>T</w:t>
      </w:r>
      <w:r w:rsidR="009C003E">
        <w:rPr>
          <w:rFonts w:ascii="Arial" w:hAnsi="Arial" w:cs="Arial"/>
          <w:sz w:val="21"/>
          <w:szCs w:val="21"/>
        </w:rPr>
        <w:t xml:space="preserve">he dearth of </w:t>
      </w:r>
      <w:r w:rsidR="00F35608">
        <w:rPr>
          <w:rFonts w:ascii="Arial" w:hAnsi="Arial" w:cs="Arial"/>
          <w:sz w:val="21"/>
          <w:szCs w:val="21"/>
        </w:rPr>
        <w:t>available units to purchase</w:t>
      </w:r>
      <w:r w:rsidR="009C003E">
        <w:rPr>
          <w:rFonts w:ascii="Arial" w:hAnsi="Arial" w:cs="Arial"/>
          <w:sz w:val="21"/>
          <w:szCs w:val="21"/>
        </w:rPr>
        <w:t xml:space="preserve"> is</w:t>
      </w:r>
      <w:r w:rsidR="00EE433A">
        <w:rPr>
          <w:rFonts w:ascii="Arial" w:hAnsi="Arial" w:cs="Arial"/>
          <w:sz w:val="21"/>
          <w:szCs w:val="21"/>
        </w:rPr>
        <w:t xml:space="preserve"> </w:t>
      </w:r>
      <w:r w:rsidR="009C003E">
        <w:rPr>
          <w:rFonts w:ascii="Arial" w:hAnsi="Arial" w:cs="Arial"/>
          <w:sz w:val="21"/>
          <w:szCs w:val="21"/>
        </w:rPr>
        <w:t xml:space="preserve">the result of too few </w:t>
      </w:r>
      <w:r w:rsidR="00BD363D" w:rsidRPr="000A1E2F">
        <w:rPr>
          <w:rFonts w:ascii="Arial" w:hAnsi="Arial" w:cs="Arial"/>
          <w:sz w:val="21"/>
          <w:szCs w:val="21"/>
        </w:rPr>
        <w:t xml:space="preserve">houses and condos </w:t>
      </w:r>
      <w:r w:rsidR="00EE433A">
        <w:rPr>
          <w:rFonts w:ascii="Arial" w:hAnsi="Arial" w:cs="Arial"/>
          <w:sz w:val="21"/>
          <w:szCs w:val="21"/>
        </w:rPr>
        <w:t xml:space="preserve">being built </w:t>
      </w:r>
      <w:r w:rsidR="00F35608">
        <w:rPr>
          <w:rFonts w:ascii="Arial" w:hAnsi="Arial" w:cs="Arial"/>
          <w:sz w:val="21"/>
          <w:szCs w:val="21"/>
        </w:rPr>
        <w:t>since the Great Recession</w:t>
      </w:r>
      <w:r w:rsidR="00BD363D" w:rsidRPr="000A1E2F">
        <w:rPr>
          <w:rFonts w:ascii="Arial" w:hAnsi="Arial" w:cs="Arial"/>
          <w:sz w:val="21"/>
          <w:szCs w:val="21"/>
        </w:rPr>
        <w:t xml:space="preserve">. </w:t>
      </w:r>
    </w:p>
    <w:p w14:paraId="672888D9" w14:textId="6B5B4734" w:rsidR="00BD363D" w:rsidRDefault="00BD363D" w:rsidP="000A1E2F">
      <w:pPr>
        <w:spacing w:before="120" w:after="120" w:line="300" w:lineRule="auto"/>
        <w:ind w:left="-360" w:right="-360"/>
        <w:contextualSpacing/>
        <w:rPr>
          <w:rFonts w:ascii="Arial" w:hAnsi="Arial" w:cs="Arial"/>
          <w:sz w:val="21"/>
          <w:szCs w:val="21"/>
        </w:rPr>
      </w:pPr>
    </w:p>
    <w:p w14:paraId="70FC0736" w14:textId="0D2C6A8A" w:rsidR="00CF712E" w:rsidRPr="000A1E2F" w:rsidRDefault="00BD363D" w:rsidP="000A1E2F">
      <w:pPr>
        <w:spacing w:before="120" w:after="120" w:line="300" w:lineRule="auto"/>
        <w:ind w:left="-360" w:right="-360"/>
        <w:contextualSpacing/>
        <w:rPr>
          <w:rFonts w:ascii="Arial" w:hAnsi="Arial" w:cs="Arial"/>
          <w:sz w:val="21"/>
          <w:szCs w:val="21"/>
        </w:rPr>
      </w:pPr>
      <w:r w:rsidRPr="000A1E2F">
        <w:rPr>
          <w:rFonts w:ascii="Arial" w:hAnsi="Arial" w:cs="Arial"/>
          <w:sz w:val="21"/>
          <w:szCs w:val="21"/>
        </w:rPr>
        <w:t xml:space="preserve">In </w:t>
      </w:r>
      <w:r w:rsidR="00757A0D">
        <w:rPr>
          <w:rFonts w:ascii="Arial" w:hAnsi="Arial" w:cs="Arial"/>
          <w:sz w:val="21"/>
          <w:szCs w:val="21"/>
        </w:rPr>
        <w:t>December</w:t>
      </w:r>
      <w:r w:rsidRPr="000A1E2F">
        <w:rPr>
          <w:rFonts w:ascii="Arial" w:hAnsi="Arial" w:cs="Arial"/>
          <w:sz w:val="21"/>
          <w:szCs w:val="21"/>
        </w:rPr>
        <w:t xml:space="preserve"> there w</w:t>
      </w:r>
      <w:r w:rsidR="007E12FC">
        <w:rPr>
          <w:rFonts w:ascii="Arial" w:hAnsi="Arial" w:cs="Arial"/>
          <w:sz w:val="21"/>
          <w:szCs w:val="21"/>
        </w:rPr>
        <w:t>as</w:t>
      </w:r>
      <w:r w:rsidR="0067111B" w:rsidRPr="000A1E2F">
        <w:rPr>
          <w:rFonts w:ascii="Arial" w:hAnsi="Arial" w:cs="Arial"/>
          <w:sz w:val="21"/>
          <w:szCs w:val="21"/>
        </w:rPr>
        <w:t xml:space="preserve"> only enough inventory to satisfy </w:t>
      </w:r>
      <w:r w:rsidR="001A6012">
        <w:rPr>
          <w:rFonts w:ascii="Arial" w:hAnsi="Arial" w:cs="Arial"/>
          <w:sz w:val="21"/>
          <w:szCs w:val="21"/>
        </w:rPr>
        <w:t>1.9</w:t>
      </w:r>
      <w:r w:rsidR="0067111B" w:rsidRPr="000A1E2F">
        <w:rPr>
          <w:rFonts w:ascii="Arial" w:hAnsi="Arial" w:cs="Arial"/>
          <w:sz w:val="21"/>
          <w:szCs w:val="21"/>
        </w:rPr>
        <w:t xml:space="preserve"> months of demand</w:t>
      </w:r>
      <w:r w:rsidR="001A6012">
        <w:rPr>
          <w:rFonts w:ascii="Arial" w:hAnsi="Arial" w:cs="Arial"/>
          <w:sz w:val="21"/>
          <w:szCs w:val="21"/>
        </w:rPr>
        <w:t xml:space="preserve"> (about 7 weeks)</w:t>
      </w:r>
      <w:r w:rsidR="0067111B" w:rsidRPr="000A1E2F">
        <w:rPr>
          <w:rFonts w:ascii="Arial" w:hAnsi="Arial" w:cs="Arial"/>
          <w:sz w:val="21"/>
          <w:szCs w:val="21"/>
        </w:rPr>
        <w:t xml:space="preserve">, and if we subtract units with an offer, it </w:t>
      </w:r>
      <w:r w:rsidR="001A6012">
        <w:rPr>
          <w:rFonts w:ascii="Arial" w:hAnsi="Arial" w:cs="Arial"/>
          <w:sz w:val="21"/>
          <w:szCs w:val="21"/>
        </w:rPr>
        <w:t xml:space="preserve">dropped </w:t>
      </w:r>
      <w:r w:rsidR="0067111B" w:rsidRPr="000A1E2F">
        <w:rPr>
          <w:rFonts w:ascii="Arial" w:hAnsi="Arial" w:cs="Arial"/>
          <w:sz w:val="21"/>
          <w:szCs w:val="21"/>
        </w:rPr>
        <w:t xml:space="preserve">to </w:t>
      </w:r>
      <w:r w:rsidR="001A6012">
        <w:rPr>
          <w:rFonts w:ascii="Arial" w:hAnsi="Arial" w:cs="Arial"/>
          <w:sz w:val="21"/>
          <w:szCs w:val="21"/>
        </w:rPr>
        <w:t>0</w:t>
      </w:r>
      <w:r w:rsidR="0067111B" w:rsidRPr="000A1E2F">
        <w:rPr>
          <w:rFonts w:ascii="Arial" w:hAnsi="Arial" w:cs="Arial"/>
          <w:sz w:val="21"/>
          <w:szCs w:val="21"/>
        </w:rPr>
        <w:t>.</w:t>
      </w:r>
      <w:r w:rsidR="001A6012">
        <w:rPr>
          <w:rFonts w:ascii="Arial" w:hAnsi="Arial" w:cs="Arial"/>
          <w:sz w:val="21"/>
          <w:szCs w:val="21"/>
        </w:rPr>
        <w:t>7</w:t>
      </w:r>
      <w:r w:rsidR="0067111B" w:rsidRPr="000A1E2F">
        <w:rPr>
          <w:rFonts w:ascii="Arial" w:hAnsi="Arial" w:cs="Arial"/>
          <w:sz w:val="21"/>
          <w:szCs w:val="21"/>
        </w:rPr>
        <w:t xml:space="preserve"> months. To satisfy </w:t>
      </w:r>
      <w:r w:rsidRPr="000A1E2F">
        <w:rPr>
          <w:rFonts w:ascii="Arial" w:hAnsi="Arial" w:cs="Arial"/>
          <w:sz w:val="21"/>
          <w:szCs w:val="21"/>
        </w:rPr>
        <w:t xml:space="preserve">the </w:t>
      </w:r>
      <w:r w:rsidR="0067111B" w:rsidRPr="000A1E2F">
        <w:rPr>
          <w:rFonts w:ascii="Arial" w:hAnsi="Arial" w:cs="Arial"/>
          <w:sz w:val="21"/>
          <w:szCs w:val="21"/>
        </w:rPr>
        <w:t>demand</w:t>
      </w:r>
      <w:r w:rsidRPr="000A1E2F">
        <w:rPr>
          <w:rFonts w:ascii="Arial" w:hAnsi="Arial" w:cs="Arial"/>
          <w:sz w:val="21"/>
          <w:szCs w:val="21"/>
        </w:rPr>
        <w:t xml:space="preserve"> REALTORS</w:t>
      </w:r>
      <w:r w:rsidR="009C003E" w:rsidRPr="009C003E">
        <w:rPr>
          <w:rFonts w:ascii="Arial" w:hAnsi="Arial" w:cs="Arial"/>
          <w:sz w:val="21"/>
          <w:szCs w:val="21"/>
          <w:vertAlign w:val="superscript"/>
        </w:rPr>
        <w:t>®</w:t>
      </w:r>
      <w:r w:rsidRPr="000A1E2F">
        <w:rPr>
          <w:rFonts w:ascii="Arial" w:hAnsi="Arial" w:cs="Arial"/>
          <w:sz w:val="21"/>
          <w:szCs w:val="21"/>
        </w:rPr>
        <w:t xml:space="preserve"> are seeing</w:t>
      </w:r>
      <w:r w:rsidR="001A6012">
        <w:rPr>
          <w:rFonts w:ascii="Arial" w:hAnsi="Arial" w:cs="Arial"/>
          <w:sz w:val="21"/>
          <w:szCs w:val="21"/>
        </w:rPr>
        <w:t xml:space="preserve"> this winter</w:t>
      </w:r>
      <w:r w:rsidR="0067111B" w:rsidRPr="000A1E2F">
        <w:rPr>
          <w:rFonts w:ascii="Arial" w:hAnsi="Arial" w:cs="Arial"/>
          <w:sz w:val="21"/>
          <w:szCs w:val="21"/>
        </w:rPr>
        <w:t xml:space="preserve">, the market needs an additional </w:t>
      </w:r>
      <w:r w:rsidR="001A6012">
        <w:rPr>
          <w:rFonts w:ascii="Arial" w:hAnsi="Arial" w:cs="Arial"/>
          <w:sz w:val="21"/>
          <w:szCs w:val="21"/>
        </w:rPr>
        <w:t>7</w:t>
      </w:r>
      <w:r w:rsidR="0067111B" w:rsidRPr="000A1E2F">
        <w:rPr>
          <w:rFonts w:ascii="Arial" w:hAnsi="Arial" w:cs="Arial"/>
          <w:sz w:val="21"/>
          <w:szCs w:val="21"/>
        </w:rPr>
        <w:t>,</w:t>
      </w:r>
      <w:r w:rsidR="001A6012">
        <w:rPr>
          <w:rFonts w:ascii="Arial" w:hAnsi="Arial" w:cs="Arial"/>
          <w:sz w:val="21"/>
          <w:szCs w:val="21"/>
        </w:rPr>
        <w:t>975</w:t>
      </w:r>
      <w:r w:rsidR="0067111B" w:rsidRPr="000A1E2F">
        <w:rPr>
          <w:rFonts w:ascii="Arial" w:hAnsi="Arial" w:cs="Arial"/>
          <w:sz w:val="21"/>
          <w:szCs w:val="21"/>
        </w:rPr>
        <w:t xml:space="preserve"> units. </w:t>
      </w:r>
    </w:p>
    <w:p w14:paraId="327A749F" w14:textId="77777777" w:rsidR="00CF712E" w:rsidRPr="000A1E2F" w:rsidRDefault="00CF712E" w:rsidP="000A1E2F">
      <w:pPr>
        <w:spacing w:before="120" w:after="120" w:line="300" w:lineRule="auto"/>
        <w:ind w:left="-360" w:right="-360"/>
        <w:contextualSpacing/>
        <w:rPr>
          <w:rFonts w:ascii="Arial" w:hAnsi="Arial" w:cs="Arial"/>
          <w:sz w:val="21"/>
          <w:szCs w:val="21"/>
        </w:rPr>
      </w:pPr>
    </w:p>
    <w:p w14:paraId="6DC1BB16" w14:textId="5F2BDB2D" w:rsidR="002C639C" w:rsidRPr="000A1E2F" w:rsidRDefault="007E12FC" w:rsidP="000A1E2F">
      <w:pPr>
        <w:spacing w:before="120" w:after="120" w:line="300" w:lineRule="auto"/>
        <w:ind w:left="-360" w:right="-360"/>
        <w:contextualSpacing/>
        <w:rPr>
          <w:rFonts w:ascii="Arial" w:hAnsi="Arial" w:cs="Arial"/>
          <w:sz w:val="21"/>
          <w:szCs w:val="21"/>
        </w:rPr>
      </w:pPr>
      <w:r>
        <w:rPr>
          <w:rFonts w:ascii="Arial" w:hAnsi="Arial" w:cs="Arial"/>
          <w:sz w:val="21"/>
          <w:szCs w:val="21"/>
        </w:rPr>
        <w:t xml:space="preserve">The law of supply and demand commands that prices </w:t>
      </w:r>
      <w:r w:rsidR="00E559AE">
        <w:rPr>
          <w:rFonts w:ascii="Arial" w:hAnsi="Arial" w:cs="Arial"/>
          <w:sz w:val="21"/>
          <w:szCs w:val="21"/>
        </w:rPr>
        <w:t>go up in a tight market with a lot of buyers</w:t>
      </w:r>
      <w:r>
        <w:rPr>
          <w:rFonts w:ascii="Arial" w:hAnsi="Arial" w:cs="Arial"/>
          <w:sz w:val="21"/>
          <w:szCs w:val="21"/>
        </w:rPr>
        <w:t>. A</w:t>
      </w:r>
      <w:r w:rsidR="0049421B" w:rsidRPr="000A1E2F">
        <w:rPr>
          <w:rFonts w:ascii="Arial" w:hAnsi="Arial" w:cs="Arial"/>
          <w:sz w:val="21"/>
          <w:szCs w:val="21"/>
        </w:rPr>
        <w:t xml:space="preserve">nd </w:t>
      </w:r>
      <w:r w:rsidR="002C639C" w:rsidRPr="00214A45">
        <w:rPr>
          <w:rFonts w:ascii="Arial" w:hAnsi="Arial" w:cs="Arial"/>
          <w:b/>
          <w:bCs/>
          <w:sz w:val="21"/>
          <w:szCs w:val="21"/>
        </w:rPr>
        <w:t>prices did go up</w:t>
      </w:r>
      <w:r w:rsidR="00E559AE" w:rsidRPr="00214A45">
        <w:rPr>
          <w:rFonts w:ascii="Arial" w:hAnsi="Arial" w:cs="Arial"/>
          <w:b/>
          <w:bCs/>
          <w:sz w:val="21"/>
          <w:szCs w:val="21"/>
        </w:rPr>
        <w:t xml:space="preserve"> </w:t>
      </w:r>
      <w:r w:rsidR="002C639C" w:rsidRPr="00214A45">
        <w:rPr>
          <w:rFonts w:ascii="Arial" w:hAnsi="Arial" w:cs="Arial"/>
          <w:b/>
          <w:bCs/>
          <w:sz w:val="21"/>
          <w:szCs w:val="21"/>
        </w:rPr>
        <w:t>1</w:t>
      </w:r>
      <w:r w:rsidR="00406BF6" w:rsidRPr="00214A45">
        <w:rPr>
          <w:rFonts w:ascii="Arial" w:hAnsi="Arial" w:cs="Arial"/>
          <w:b/>
          <w:bCs/>
          <w:sz w:val="21"/>
          <w:szCs w:val="21"/>
        </w:rPr>
        <w:t>0</w:t>
      </w:r>
      <w:r w:rsidR="002C639C" w:rsidRPr="00214A45">
        <w:rPr>
          <w:rFonts w:ascii="Arial" w:hAnsi="Arial" w:cs="Arial"/>
          <w:b/>
          <w:bCs/>
          <w:sz w:val="21"/>
          <w:szCs w:val="21"/>
        </w:rPr>
        <w:t>.</w:t>
      </w:r>
      <w:r w:rsidR="00406BF6" w:rsidRPr="00214A45">
        <w:rPr>
          <w:rFonts w:ascii="Arial" w:hAnsi="Arial" w:cs="Arial"/>
          <w:b/>
          <w:bCs/>
          <w:sz w:val="21"/>
          <w:szCs w:val="21"/>
        </w:rPr>
        <w:t>8</w:t>
      </w:r>
      <w:r w:rsidR="002C639C" w:rsidRPr="00214A45">
        <w:rPr>
          <w:rFonts w:ascii="Arial" w:hAnsi="Arial" w:cs="Arial"/>
          <w:b/>
          <w:bCs/>
          <w:sz w:val="21"/>
          <w:szCs w:val="21"/>
        </w:rPr>
        <w:t xml:space="preserve">% </w:t>
      </w:r>
      <w:r w:rsidR="00612A8B" w:rsidRPr="00214A45">
        <w:rPr>
          <w:rFonts w:ascii="Arial" w:hAnsi="Arial" w:cs="Arial"/>
          <w:b/>
          <w:bCs/>
          <w:sz w:val="21"/>
          <w:szCs w:val="21"/>
        </w:rPr>
        <w:t>in 2021</w:t>
      </w:r>
      <w:r w:rsidR="002C639C" w:rsidRPr="00214A45">
        <w:rPr>
          <w:rFonts w:ascii="Arial" w:hAnsi="Arial" w:cs="Arial"/>
          <w:b/>
          <w:bCs/>
          <w:sz w:val="21"/>
          <w:szCs w:val="21"/>
        </w:rPr>
        <w:t xml:space="preserve"> in the 4-county area</w:t>
      </w:r>
      <w:r w:rsidR="0049421B" w:rsidRPr="00214A45">
        <w:rPr>
          <w:rFonts w:ascii="Arial" w:hAnsi="Arial" w:cs="Arial"/>
          <w:b/>
          <w:bCs/>
          <w:sz w:val="21"/>
          <w:szCs w:val="21"/>
        </w:rPr>
        <w:t>; and up 1</w:t>
      </w:r>
      <w:r w:rsidR="00406BF6" w:rsidRPr="00214A45">
        <w:rPr>
          <w:rFonts w:ascii="Arial" w:hAnsi="Arial" w:cs="Arial"/>
          <w:b/>
          <w:bCs/>
          <w:sz w:val="21"/>
          <w:szCs w:val="21"/>
        </w:rPr>
        <w:t>1</w:t>
      </w:r>
      <w:r w:rsidR="0049421B" w:rsidRPr="00214A45">
        <w:rPr>
          <w:rFonts w:ascii="Arial" w:hAnsi="Arial" w:cs="Arial"/>
          <w:b/>
          <w:bCs/>
          <w:sz w:val="21"/>
          <w:szCs w:val="21"/>
        </w:rPr>
        <w:t>.</w:t>
      </w:r>
      <w:r w:rsidR="00406BF6" w:rsidRPr="00214A45">
        <w:rPr>
          <w:rFonts w:ascii="Arial" w:hAnsi="Arial" w:cs="Arial"/>
          <w:b/>
          <w:bCs/>
          <w:sz w:val="21"/>
          <w:szCs w:val="21"/>
        </w:rPr>
        <w:t>1</w:t>
      </w:r>
      <w:r w:rsidR="0049421B" w:rsidRPr="00214A45">
        <w:rPr>
          <w:rFonts w:ascii="Arial" w:hAnsi="Arial" w:cs="Arial"/>
          <w:b/>
          <w:bCs/>
          <w:sz w:val="21"/>
          <w:szCs w:val="21"/>
        </w:rPr>
        <w:t>% in the 7-county SE WI market area</w:t>
      </w:r>
      <w:r w:rsidR="002C639C" w:rsidRPr="000A1E2F">
        <w:rPr>
          <w:rFonts w:ascii="Arial" w:hAnsi="Arial" w:cs="Arial"/>
          <w:sz w:val="21"/>
          <w:szCs w:val="21"/>
        </w:rPr>
        <w:t>.</w:t>
      </w:r>
      <w:r w:rsidR="00E559AE">
        <w:rPr>
          <w:rFonts w:ascii="Arial" w:hAnsi="Arial" w:cs="Arial"/>
          <w:sz w:val="21"/>
          <w:szCs w:val="21"/>
        </w:rPr>
        <w:t xml:space="preserve"> </w:t>
      </w:r>
    </w:p>
    <w:p w14:paraId="11B83E44" w14:textId="77777777" w:rsidR="002C639C" w:rsidRPr="000A1E2F" w:rsidRDefault="002C639C" w:rsidP="000A1E2F">
      <w:pPr>
        <w:spacing w:before="120" w:after="120" w:line="300" w:lineRule="auto"/>
        <w:ind w:left="-360" w:right="-360"/>
        <w:contextualSpacing/>
        <w:rPr>
          <w:rFonts w:ascii="Arial" w:hAnsi="Arial" w:cs="Arial"/>
          <w:sz w:val="21"/>
          <w:szCs w:val="21"/>
        </w:rPr>
      </w:pPr>
    </w:p>
    <w:p w14:paraId="439D6955" w14:textId="77777777" w:rsidR="004F022E" w:rsidRDefault="00A07F36" w:rsidP="000A1E2F">
      <w:pPr>
        <w:spacing w:before="120" w:after="120" w:line="300" w:lineRule="auto"/>
        <w:ind w:left="-360" w:right="-360"/>
        <w:contextualSpacing/>
        <w:rPr>
          <w:rFonts w:ascii="Arial" w:hAnsi="Arial" w:cs="Arial"/>
          <w:sz w:val="21"/>
          <w:szCs w:val="21"/>
        </w:rPr>
      </w:pPr>
      <w:r>
        <w:rPr>
          <w:rFonts w:ascii="Arial" w:hAnsi="Arial" w:cs="Arial"/>
          <w:sz w:val="21"/>
          <w:szCs w:val="21"/>
        </w:rPr>
        <w:t>The p</w:t>
      </w:r>
      <w:r w:rsidR="00E559AE">
        <w:rPr>
          <w:rFonts w:ascii="Arial" w:hAnsi="Arial" w:cs="Arial"/>
          <w:sz w:val="21"/>
          <w:szCs w:val="21"/>
        </w:rPr>
        <w:t xml:space="preserve">rice increases </w:t>
      </w:r>
      <w:r>
        <w:rPr>
          <w:rFonts w:ascii="Arial" w:hAnsi="Arial" w:cs="Arial"/>
          <w:sz w:val="21"/>
          <w:szCs w:val="21"/>
        </w:rPr>
        <w:t xml:space="preserve">we have seen </w:t>
      </w:r>
      <w:r w:rsidR="00E559AE">
        <w:rPr>
          <w:rFonts w:ascii="Arial" w:hAnsi="Arial" w:cs="Arial"/>
          <w:sz w:val="21"/>
          <w:szCs w:val="21"/>
        </w:rPr>
        <w:t xml:space="preserve">are </w:t>
      </w:r>
      <w:r w:rsidR="00612A8B">
        <w:rPr>
          <w:rFonts w:ascii="Arial" w:hAnsi="Arial" w:cs="Arial"/>
          <w:sz w:val="21"/>
          <w:szCs w:val="21"/>
        </w:rPr>
        <w:t xml:space="preserve">directly related </w:t>
      </w:r>
      <w:r w:rsidR="00E559AE">
        <w:rPr>
          <w:rFonts w:ascii="Arial" w:hAnsi="Arial" w:cs="Arial"/>
          <w:sz w:val="21"/>
          <w:szCs w:val="21"/>
        </w:rPr>
        <w:t xml:space="preserve">due to </w:t>
      </w:r>
      <w:r w:rsidR="00406BF6">
        <w:rPr>
          <w:rFonts w:ascii="Arial" w:hAnsi="Arial" w:cs="Arial"/>
          <w:sz w:val="21"/>
          <w:szCs w:val="21"/>
        </w:rPr>
        <w:t>supply constraints</w:t>
      </w:r>
      <w:r w:rsidR="00612A8B">
        <w:rPr>
          <w:rFonts w:ascii="Arial" w:hAnsi="Arial" w:cs="Arial"/>
          <w:sz w:val="21"/>
          <w:szCs w:val="21"/>
        </w:rPr>
        <w:t xml:space="preserve"> and buyer demand </w:t>
      </w:r>
      <w:r w:rsidR="004F022E">
        <w:rPr>
          <w:rFonts w:ascii="Arial" w:hAnsi="Arial" w:cs="Arial"/>
          <w:sz w:val="21"/>
          <w:szCs w:val="21"/>
        </w:rPr>
        <w:t>(</w:t>
      </w:r>
      <w:r w:rsidR="00612A8B">
        <w:rPr>
          <w:rFonts w:ascii="Arial" w:hAnsi="Arial" w:cs="Arial"/>
          <w:sz w:val="21"/>
          <w:szCs w:val="21"/>
        </w:rPr>
        <w:t>demand of new buyers, move-</w:t>
      </w:r>
      <w:r w:rsidR="00612A8B" w:rsidRPr="00612A8B">
        <w:rPr>
          <w:rFonts w:ascii="Arial" w:hAnsi="Arial" w:cs="Arial"/>
          <w:sz w:val="21"/>
          <w:szCs w:val="21"/>
        </w:rPr>
        <w:t xml:space="preserve"> </w:t>
      </w:r>
      <w:r w:rsidR="00612A8B">
        <w:rPr>
          <w:rFonts w:ascii="Arial" w:hAnsi="Arial" w:cs="Arial"/>
          <w:sz w:val="21"/>
          <w:szCs w:val="21"/>
        </w:rPr>
        <w:t>up buyers, and downsizers, among others</w:t>
      </w:r>
      <w:r w:rsidR="004F022E">
        <w:rPr>
          <w:rFonts w:ascii="Arial" w:hAnsi="Arial" w:cs="Arial"/>
          <w:sz w:val="21"/>
          <w:szCs w:val="21"/>
        </w:rPr>
        <w:t>),</w:t>
      </w:r>
      <w:r w:rsidR="00612A8B">
        <w:rPr>
          <w:rFonts w:ascii="Arial" w:hAnsi="Arial" w:cs="Arial"/>
          <w:sz w:val="21"/>
          <w:szCs w:val="21"/>
        </w:rPr>
        <w:t xml:space="preserve"> especially in the last five years</w:t>
      </w:r>
      <w:r w:rsidR="004F022E">
        <w:rPr>
          <w:rFonts w:ascii="Arial" w:hAnsi="Arial" w:cs="Arial"/>
          <w:sz w:val="21"/>
          <w:szCs w:val="21"/>
        </w:rPr>
        <w:t xml:space="preserve">. </w:t>
      </w:r>
    </w:p>
    <w:p w14:paraId="6683549B" w14:textId="77777777" w:rsidR="004F022E" w:rsidRDefault="004F022E" w:rsidP="000A1E2F">
      <w:pPr>
        <w:spacing w:before="120" w:after="120" w:line="300" w:lineRule="auto"/>
        <w:ind w:left="-360" w:right="-360"/>
        <w:contextualSpacing/>
        <w:rPr>
          <w:rFonts w:ascii="Arial" w:hAnsi="Arial" w:cs="Arial"/>
          <w:sz w:val="21"/>
          <w:szCs w:val="21"/>
        </w:rPr>
      </w:pPr>
    </w:p>
    <w:p w14:paraId="2A763D60" w14:textId="40D72A28" w:rsidR="00B170CC" w:rsidRDefault="004F022E" w:rsidP="000A1E2F">
      <w:pPr>
        <w:spacing w:before="120" w:after="120" w:line="300" w:lineRule="auto"/>
        <w:ind w:left="-360" w:right="-360"/>
        <w:contextualSpacing/>
        <w:rPr>
          <w:rFonts w:ascii="Arial" w:hAnsi="Arial" w:cs="Arial"/>
          <w:sz w:val="21"/>
          <w:szCs w:val="21"/>
        </w:rPr>
      </w:pPr>
      <w:r>
        <w:rPr>
          <w:rFonts w:ascii="Arial" w:hAnsi="Arial" w:cs="Arial"/>
          <w:sz w:val="21"/>
          <w:szCs w:val="21"/>
        </w:rPr>
        <w:t>That c</w:t>
      </w:r>
      <w:r w:rsidR="00B170CC" w:rsidRPr="000A1E2F">
        <w:rPr>
          <w:rFonts w:ascii="Arial" w:hAnsi="Arial" w:cs="Arial"/>
          <w:sz w:val="21"/>
          <w:szCs w:val="21"/>
        </w:rPr>
        <w:t xml:space="preserve">ombined with </w:t>
      </w:r>
      <w:r w:rsidR="000834B8" w:rsidRPr="000A1E2F">
        <w:rPr>
          <w:rFonts w:ascii="Arial" w:hAnsi="Arial" w:cs="Arial"/>
          <w:sz w:val="21"/>
          <w:szCs w:val="21"/>
        </w:rPr>
        <w:t>the demographic surge of Millennial and Gen</w:t>
      </w:r>
      <w:r w:rsidR="00256F5E">
        <w:rPr>
          <w:rFonts w:ascii="Arial" w:hAnsi="Arial" w:cs="Arial"/>
          <w:sz w:val="21"/>
          <w:szCs w:val="21"/>
        </w:rPr>
        <w:t xml:space="preserve"> </w:t>
      </w:r>
      <w:r w:rsidR="000834B8" w:rsidRPr="000A1E2F">
        <w:rPr>
          <w:rFonts w:ascii="Arial" w:hAnsi="Arial" w:cs="Arial"/>
          <w:sz w:val="21"/>
          <w:szCs w:val="21"/>
        </w:rPr>
        <w:t>Z buyers</w:t>
      </w:r>
      <w:r w:rsidR="00B170CC" w:rsidRPr="000A1E2F">
        <w:rPr>
          <w:rFonts w:ascii="Arial" w:hAnsi="Arial" w:cs="Arial"/>
          <w:sz w:val="21"/>
          <w:szCs w:val="21"/>
        </w:rPr>
        <w:t xml:space="preserve">, </w:t>
      </w:r>
      <w:r w:rsidR="000834B8" w:rsidRPr="000A1E2F">
        <w:rPr>
          <w:rFonts w:ascii="Arial" w:hAnsi="Arial" w:cs="Arial"/>
          <w:sz w:val="21"/>
          <w:szCs w:val="21"/>
        </w:rPr>
        <w:t xml:space="preserve">historically low interest rates, </w:t>
      </w:r>
      <w:r w:rsidR="00B170CC" w:rsidRPr="000A1E2F">
        <w:rPr>
          <w:rFonts w:ascii="Arial" w:hAnsi="Arial" w:cs="Arial"/>
          <w:sz w:val="21"/>
          <w:szCs w:val="21"/>
        </w:rPr>
        <w:t xml:space="preserve">and a growing economy, </w:t>
      </w:r>
      <w:r w:rsidR="000834B8" w:rsidRPr="000A1E2F">
        <w:rPr>
          <w:rFonts w:ascii="Arial" w:hAnsi="Arial" w:cs="Arial"/>
          <w:sz w:val="21"/>
          <w:szCs w:val="21"/>
        </w:rPr>
        <w:t>have all contributed to an historically tight market</w:t>
      </w:r>
      <w:r w:rsidR="00E559AE">
        <w:rPr>
          <w:rFonts w:ascii="Arial" w:hAnsi="Arial" w:cs="Arial"/>
          <w:sz w:val="21"/>
          <w:szCs w:val="21"/>
        </w:rPr>
        <w:t xml:space="preserve"> and rising prices</w:t>
      </w:r>
      <w:r w:rsidR="00CF712E" w:rsidRPr="000A1E2F">
        <w:rPr>
          <w:rFonts w:ascii="Arial" w:hAnsi="Arial" w:cs="Arial"/>
          <w:sz w:val="21"/>
          <w:szCs w:val="21"/>
        </w:rPr>
        <w:t>.</w:t>
      </w:r>
      <w:r w:rsidR="00E559AE">
        <w:rPr>
          <w:rFonts w:ascii="Arial" w:hAnsi="Arial" w:cs="Arial"/>
          <w:sz w:val="21"/>
          <w:szCs w:val="21"/>
        </w:rPr>
        <w:t xml:space="preserve"> </w:t>
      </w:r>
    </w:p>
    <w:p w14:paraId="2FCE6CE5" w14:textId="1D344FCE" w:rsidR="00E559AE" w:rsidRDefault="00E559AE" w:rsidP="000A1E2F">
      <w:pPr>
        <w:spacing w:before="120" w:after="120" w:line="300" w:lineRule="auto"/>
        <w:ind w:left="-360" w:right="-360"/>
        <w:contextualSpacing/>
        <w:rPr>
          <w:rFonts w:ascii="Arial" w:hAnsi="Arial" w:cs="Arial"/>
          <w:sz w:val="21"/>
          <w:szCs w:val="21"/>
        </w:rPr>
      </w:pPr>
    </w:p>
    <w:tbl>
      <w:tblPr>
        <w:tblpPr w:leftFromText="187" w:rightFromText="360" w:bottomFromText="288" w:vertAnchor="text" w:horzAnchor="margin" w:tblpX="-359" w:tblpY="30"/>
        <w:tblW w:w="6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269"/>
        <w:gridCol w:w="1052"/>
        <w:gridCol w:w="1270"/>
        <w:gridCol w:w="999"/>
      </w:tblGrid>
      <w:tr w:rsidR="00406BF6" w:rsidRPr="000A1E2F" w14:paraId="1FAB8814" w14:textId="77777777" w:rsidTr="001D331B">
        <w:trPr>
          <w:trHeight w:val="360"/>
        </w:trPr>
        <w:tc>
          <w:tcPr>
            <w:tcW w:w="6390" w:type="dxa"/>
            <w:gridSpan w:val="5"/>
            <w:tcBorders>
              <w:top w:val="nil"/>
              <w:left w:val="nil"/>
              <w:bottom w:val="nil"/>
              <w:right w:val="nil"/>
            </w:tcBorders>
          </w:tcPr>
          <w:p w14:paraId="2215214F" w14:textId="77777777" w:rsidR="00406BF6" w:rsidRPr="00406BF6" w:rsidRDefault="00406BF6" w:rsidP="00F71BBF">
            <w:pPr>
              <w:spacing w:line="252" w:lineRule="auto"/>
              <w:ind w:right="85"/>
              <w:rPr>
                <w:rFonts w:ascii="Arial" w:hAnsi="Arial" w:cs="Arial"/>
                <w:b/>
                <w:sz w:val="20"/>
                <w:szCs w:val="20"/>
              </w:rPr>
            </w:pPr>
            <w:r w:rsidRPr="00406BF6">
              <w:rPr>
                <w:rFonts w:ascii="Arial" w:hAnsi="Arial" w:cs="Arial"/>
                <w:sz w:val="20"/>
                <w:szCs w:val="20"/>
              </w:rPr>
              <w:br w:type="page"/>
            </w:r>
            <w:r w:rsidRPr="00406BF6">
              <w:rPr>
                <w:rFonts w:ascii="Arial" w:hAnsi="Arial" w:cs="Arial"/>
                <w:b/>
                <w:sz w:val="20"/>
                <w:szCs w:val="20"/>
              </w:rPr>
              <w:t>2021 Sale Prices</w:t>
            </w:r>
            <w:r w:rsidRPr="00406BF6">
              <w:rPr>
                <w:rFonts w:ascii="Arial" w:hAnsi="Arial" w:cs="Arial"/>
                <w:bCs/>
                <w:sz w:val="20"/>
                <w:szCs w:val="20"/>
              </w:rPr>
              <w:t xml:space="preserve"> (Jan 1 – Dec 31)</w:t>
            </w:r>
          </w:p>
        </w:tc>
      </w:tr>
      <w:tr w:rsidR="00406BF6" w:rsidRPr="000A1E2F" w14:paraId="7CC1CD7E" w14:textId="77777777" w:rsidTr="001D331B">
        <w:trPr>
          <w:trHeight w:val="357"/>
        </w:trPr>
        <w:tc>
          <w:tcPr>
            <w:tcW w:w="1800" w:type="dxa"/>
            <w:tcBorders>
              <w:top w:val="nil"/>
              <w:left w:val="nil"/>
              <w:bottom w:val="nil"/>
              <w:right w:val="single" w:sz="12" w:space="0" w:color="FFFFFF"/>
            </w:tcBorders>
            <w:shd w:val="clear" w:color="auto" w:fill="1F4E79"/>
            <w:vAlign w:val="center"/>
            <w:hideMark/>
          </w:tcPr>
          <w:p w14:paraId="12901978" w14:textId="77777777" w:rsidR="00406BF6" w:rsidRPr="00406BF6" w:rsidRDefault="00406BF6" w:rsidP="00F71BBF">
            <w:pPr>
              <w:ind w:left="175" w:right="-15"/>
              <w:jc w:val="center"/>
              <w:rPr>
                <w:rFonts w:cstheme="minorHAnsi"/>
                <w:b/>
                <w:color w:val="FFFFFF" w:themeColor="background1"/>
              </w:rPr>
            </w:pPr>
            <w:r w:rsidRPr="00406BF6">
              <w:rPr>
                <w:rFonts w:cstheme="minorHAnsi"/>
                <w:b/>
                <w:color w:val="FFFFFF" w:themeColor="background1"/>
              </w:rPr>
              <w:t>County</w:t>
            </w:r>
          </w:p>
        </w:tc>
        <w:tc>
          <w:tcPr>
            <w:tcW w:w="1269"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3D2DDEE5" w14:textId="77777777" w:rsidR="00406BF6" w:rsidRPr="00406BF6" w:rsidRDefault="00406BF6" w:rsidP="00F71BBF">
            <w:pPr>
              <w:spacing w:line="207" w:lineRule="atLeast"/>
              <w:ind w:left="44" w:right="-15"/>
              <w:jc w:val="center"/>
              <w:rPr>
                <w:rFonts w:cstheme="minorHAnsi"/>
                <w:color w:val="FFFFFF" w:themeColor="background1"/>
              </w:rPr>
            </w:pPr>
            <w:r w:rsidRPr="00406BF6">
              <w:rPr>
                <w:rFonts w:cstheme="minorHAnsi"/>
                <w:color w:val="FFFFFF" w:themeColor="background1"/>
              </w:rPr>
              <w:t>2020</w:t>
            </w:r>
          </w:p>
        </w:tc>
        <w:tc>
          <w:tcPr>
            <w:tcW w:w="1052"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23CCC9EA" w14:textId="77777777" w:rsidR="00406BF6" w:rsidRPr="00406BF6" w:rsidRDefault="00406BF6" w:rsidP="00F71BBF">
            <w:pPr>
              <w:spacing w:line="207" w:lineRule="atLeast"/>
              <w:ind w:right="-15"/>
              <w:jc w:val="center"/>
              <w:rPr>
                <w:rFonts w:cstheme="minorHAnsi"/>
                <w:color w:val="FFFFFF" w:themeColor="background1"/>
              </w:rPr>
            </w:pPr>
            <w:r w:rsidRPr="00406BF6">
              <w:rPr>
                <w:rFonts w:cstheme="minorHAnsi"/>
                <w:color w:val="FFFFFF" w:themeColor="background1"/>
              </w:rPr>
              <w:t>2021</w:t>
            </w:r>
          </w:p>
        </w:tc>
        <w:tc>
          <w:tcPr>
            <w:tcW w:w="1270" w:type="dxa"/>
            <w:tcBorders>
              <w:top w:val="nil"/>
              <w:left w:val="single" w:sz="12" w:space="0" w:color="FFFFFF"/>
              <w:bottom w:val="nil"/>
              <w:right w:val="nil"/>
            </w:tcBorders>
            <w:shd w:val="clear" w:color="auto" w:fill="1F4E79"/>
            <w:vAlign w:val="center"/>
          </w:tcPr>
          <w:p w14:paraId="026ADDDE" w14:textId="77777777" w:rsidR="00406BF6" w:rsidRPr="00406BF6" w:rsidRDefault="00406BF6" w:rsidP="00F71BBF">
            <w:pPr>
              <w:ind w:left="89" w:right="255"/>
              <w:jc w:val="center"/>
              <w:rPr>
                <w:rFonts w:cstheme="minorHAnsi"/>
                <w:color w:val="FFFFFF" w:themeColor="background1"/>
              </w:rPr>
            </w:pPr>
            <w:r w:rsidRPr="00406BF6">
              <w:rPr>
                <w:rFonts w:cstheme="minorHAnsi"/>
                <w:color w:val="FFFFFF" w:themeColor="background1"/>
              </w:rPr>
              <w:t>$ Change</w:t>
            </w:r>
          </w:p>
        </w:tc>
        <w:tc>
          <w:tcPr>
            <w:tcW w:w="999" w:type="dxa"/>
            <w:tcBorders>
              <w:top w:val="nil"/>
              <w:left w:val="single" w:sz="12" w:space="0" w:color="FFFFFF"/>
              <w:bottom w:val="nil"/>
              <w:right w:val="nil"/>
            </w:tcBorders>
            <w:shd w:val="clear" w:color="auto" w:fill="1F4E79"/>
            <w:vAlign w:val="center"/>
          </w:tcPr>
          <w:p w14:paraId="58CE488A" w14:textId="787306A3" w:rsidR="00406BF6" w:rsidRPr="00406BF6" w:rsidRDefault="00406BF6" w:rsidP="00F71BBF">
            <w:pPr>
              <w:ind w:left="89" w:right="-15"/>
              <w:jc w:val="center"/>
              <w:rPr>
                <w:rFonts w:cstheme="minorHAnsi"/>
                <w:color w:val="FFFFFF" w:themeColor="background1"/>
              </w:rPr>
            </w:pPr>
            <w:r w:rsidRPr="00406BF6">
              <w:rPr>
                <w:rFonts w:cstheme="minorHAnsi"/>
                <w:color w:val="FFFFFF" w:themeColor="background1"/>
              </w:rPr>
              <w:t>% Ch</w:t>
            </w:r>
            <w:r w:rsidR="001D331B">
              <w:rPr>
                <w:rFonts w:cstheme="minorHAnsi"/>
                <w:color w:val="FFFFFF" w:themeColor="background1"/>
              </w:rPr>
              <w:t>n</w:t>
            </w:r>
            <w:r w:rsidRPr="00406BF6">
              <w:rPr>
                <w:rFonts w:cstheme="minorHAnsi"/>
                <w:color w:val="FFFFFF" w:themeColor="background1"/>
              </w:rPr>
              <w:t>g</w:t>
            </w:r>
          </w:p>
        </w:tc>
      </w:tr>
      <w:tr w:rsidR="00406BF6" w:rsidRPr="000A1E2F" w14:paraId="59475810" w14:textId="77777777" w:rsidTr="001D331B">
        <w:trPr>
          <w:trHeight w:val="288"/>
        </w:trPr>
        <w:tc>
          <w:tcPr>
            <w:tcW w:w="1800" w:type="dxa"/>
            <w:tcBorders>
              <w:top w:val="nil"/>
              <w:left w:val="nil"/>
              <w:bottom w:val="nil"/>
              <w:right w:val="nil"/>
            </w:tcBorders>
            <w:shd w:val="clear" w:color="auto" w:fill="auto"/>
            <w:tcMar>
              <w:top w:w="0" w:type="dxa"/>
              <w:left w:w="108" w:type="dxa"/>
              <w:bottom w:w="0" w:type="dxa"/>
              <w:right w:w="108" w:type="dxa"/>
            </w:tcMar>
            <w:vAlign w:val="center"/>
            <w:hideMark/>
          </w:tcPr>
          <w:p w14:paraId="31F5592E" w14:textId="77777777" w:rsidR="00406BF6" w:rsidRPr="00406BF6" w:rsidRDefault="00406BF6" w:rsidP="00F71BBF">
            <w:pPr>
              <w:spacing w:line="252" w:lineRule="auto"/>
              <w:ind w:left="62" w:right="-15"/>
              <w:rPr>
                <w:rFonts w:cstheme="minorHAnsi"/>
              </w:rPr>
            </w:pPr>
            <w:r w:rsidRPr="00406BF6">
              <w:rPr>
                <w:rFonts w:cstheme="minorHAnsi"/>
              </w:rPr>
              <w:t>Milwaukee</w:t>
            </w:r>
          </w:p>
        </w:tc>
        <w:tc>
          <w:tcPr>
            <w:tcW w:w="1269" w:type="dxa"/>
            <w:tcBorders>
              <w:top w:val="nil"/>
              <w:left w:val="nil"/>
              <w:bottom w:val="nil"/>
              <w:right w:val="nil"/>
            </w:tcBorders>
            <w:shd w:val="clear" w:color="auto" w:fill="auto"/>
            <w:tcMar>
              <w:top w:w="0" w:type="dxa"/>
              <w:left w:w="108" w:type="dxa"/>
              <w:bottom w:w="0" w:type="dxa"/>
              <w:right w:w="108" w:type="dxa"/>
            </w:tcMar>
            <w:vAlign w:val="center"/>
          </w:tcPr>
          <w:p w14:paraId="2C6AFDAC" w14:textId="77777777" w:rsidR="00406BF6" w:rsidRPr="00406BF6" w:rsidRDefault="00406BF6" w:rsidP="00F71BBF">
            <w:pPr>
              <w:spacing w:line="252" w:lineRule="auto"/>
              <w:ind w:left="44" w:right="-15"/>
              <w:rPr>
                <w:rFonts w:cstheme="minorHAnsi"/>
              </w:rPr>
            </w:pPr>
            <w:r w:rsidRPr="00406BF6">
              <w:rPr>
                <w:rFonts w:cstheme="minorHAnsi"/>
              </w:rPr>
              <w:t xml:space="preserve"> $219,460 </w:t>
            </w:r>
          </w:p>
        </w:tc>
        <w:tc>
          <w:tcPr>
            <w:tcW w:w="1052" w:type="dxa"/>
            <w:tcBorders>
              <w:top w:val="nil"/>
              <w:left w:val="nil"/>
              <w:bottom w:val="nil"/>
              <w:right w:val="nil"/>
            </w:tcBorders>
            <w:shd w:val="clear" w:color="auto" w:fill="auto"/>
            <w:tcMar>
              <w:top w:w="0" w:type="dxa"/>
              <w:left w:w="108" w:type="dxa"/>
              <w:bottom w:w="0" w:type="dxa"/>
              <w:right w:w="108" w:type="dxa"/>
            </w:tcMar>
            <w:vAlign w:val="center"/>
          </w:tcPr>
          <w:p w14:paraId="1F927FA9" w14:textId="77777777" w:rsidR="00406BF6" w:rsidRPr="00406BF6" w:rsidRDefault="00406BF6" w:rsidP="00F71BBF">
            <w:pPr>
              <w:spacing w:line="252" w:lineRule="auto"/>
              <w:ind w:right="-15"/>
              <w:rPr>
                <w:rFonts w:cstheme="minorHAnsi"/>
              </w:rPr>
            </w:pPr>
            <w:r w:rsidRPr="00406BF6">
              <w:rPr>
                <w:rFonts w:cstheme="minorHAnsi"/>
              </w:rPr>
              <w:t xml:space="preserve">$240,531 </w:t>
            </w:r>
          </w:p>
        </w:tc>
        <w:tc>
          <w:tcPr>
            <w:tcW w:w="1270" w:type="dxa"/>
            <w:tcBorders>
              <w:top w:val="nil"/>
              <w:left w:val="nil"/>
              <w:bottom w:val="nil"/>
              <w:right w:val="nil"/>
            </w:tcBorders>
            <w:shd w:val="clear" w:color="auto" w:fill="auto"/>
            <w:vAlign w:val="center"/>
          </w:tcPr>
          <w:p w14:paraId="52383782" w14:textId="77777777" w:rsidR="00406BF6" w:rsidRPr="00406BF6" w:rsidRDefault="00406BF6" w:rsidP="00F71BBF">
            <w:pPr>
              <w:spacing w:line="252" w:lineRule="auto"/>
              <w:ind w:left="89" w:right="255"/>
              <w:jc w:val="right"/>
              <w:rPr>
                <w:rFonts w:cstheme="minorHAnsi"/>
              </w:rPr>
            </w:pPr>
            <w:r w:rsidRPr="00406BF6">
              <w:rPr>
                <w:rFonts w:cstheme="minorHAnsi"/>
              </w:rPr>
              <w:t xml:space="preserve"> $21,071 </w:t>
            </w:r>
          </w:p>
        </w:tc>
        <w:tc>
          <w:tcPr>
            <w:tcW w:w="999" w:type="dxa"/>
            <w:tcBorders>
              <w:top w:val="nil"/>
              <w:left w:val="nil"/>
              <w:bottom w:val="nil"/>
              <w:right w:val="nil"/>
            </w:tcBorders>
            <w:vAlign w:val="center"/>
          </w:tcPr>
          <w:p w14:paraId="51B64A25" w14:textId="77777777" w:rsidR="00406BF6" w:rsidRPr="00406BF6" w:rsidRDefault="00406BF6" w:rsidP="00F71BBF">
            <w:pPr>
              <w:spacing w:line="252" w:lineRule="auto"/>
              <w:ind w:right="255"/>
              <w:jc w:val="right"/>
              <w:rPr>
                <w:rFonts w:cstheme="minorHAnsi"/>
              </w:rPr>
            </w:pPr>
            <w:r w:rsidRPr="00406BF6">
              <w:rPr>
                <w:rFonts w:cstheme="minorHAnsi"/>
              </w:rPr>
              <w:t>9.6%</w:t>
            </w:r>
          </w:p>
        </w:tc>
      </w:tr>
      <w:tr w:rsidR="00406BF6" w:rsidRPr="000A1E2F" w14:paraId="6843A0E0" w14:textId="77777777" w:rsidTr="001D331B">
        <w:trPr>
          <w:trHeight w:val="288"/>
        </w:trPr>
        <w:tc>
          <w:tcPr>
            <w:tcW w:w="18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210A49DC" w14:textId="77777777" w:rsidR="00406BF6" w:rsidRPr="00406BF6" w:rsidRDefault="00406BF6" w:rsidP="00F71BBF">
            <w:pPr>
              <w:spacing w:line="252" w:lineRule="auto"/>
              <w:ind w:left="62" w:right="-15"/>
              <w:rPr>
                <w:rFonts w:cstheme="minorHAnsi"/>
              </w:rPr>
            </w:pPr>
            <w:r w:rsidRPr="00406BF6">
              <w:rPr>
                <w:rFonts w:cstheme="minorHAnsi"/>
              </w:rPr>
              <w:t>Waukesha</w:t>
            </w: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2C053EA" w14:textId="77777777" w:rsidR="00406BF6" w:rsidRPr="00406BF6" w:rsidRDefault="00406BF6" w:rsidP="00F71BBF">
            <w:pPr>
              <w:spacing w:line="252" w:lineRule="auto"/>
              <w:ind w:left="44" w:right="-15"/>
              <w:rPr>
                <w:rFonts w:cstheme="minorHAnsi"/>
              </w:rPr>
            </w:pPr>
            <w:r w:rsidRPr="00406BF6">
              <w:rPr>
                <w:rFonts w:cstheme="minorHAnsi"/>
              </w:rPr>
              <w:t xml:space="preserve"> $396,576 </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7600D6D" w14:textId="77777777" w:rsidR="00406BF6" w:rsidRPr="00406BF6" w:rsidRDefault="00406BF6" w:rsidP="00F71BBF">
            <w:pPr>
              <w:spacing w:line="252" w:lineRule="auto"/>
              <w:ind w:right="-15"/>
              <w:rPr>
                <w:rFonts w:cstheme="minorHAnsi"/>
              </w:rPr>
            </w:pPr>
            <w:r w:rsidRPr="00406BF6">
              <w:rPr>
                <w:rFonts w:cstheme="minorHAnsi"/>
              </w:rPr>
              <w:t xml:space="preserve">$428,841 </w:t>
            </w:r>
          </w:p>
        </w:tc>
        <w:tc>
          <w:tcPr>
            <w:tcW w:w="1270" w:type="dxa"/>
            <w:tcBorders>
              <w:top w:val="nil"/>
              <w:left w:val="nil"/>
              <w:bottom w:val="nil"/>
              <w:right w:val="nil"/>
            </w:tcBorders>
            <w:shd w:val="clear" w:color="auto" w:fill="DEEAF6" w:themeFill="accent1" w:themeFillTint="33"/>
            <w:vAlign w:val="center"/>
          </w:tcPr>
          <w:p w14:paraId="4AEFEB22" w14:textId="77777777" w:rsidR="00406BF6" w:rsidRPr="00406BF6" w:rsidRDefault="00406BF6" w:rsidP="00F71BBF">
            <w:pPr>
              <w:spacing w:line="252" w:lineRule="auto"/>
              <w:ind w:left="89" w:right="255"/>
              <w:jc w:val="right"/>
              <w:rPr>
                <w:rFonts w:cstheme="minorHAnsi"/>
              </w:rPr>
            </w:pPr>
            <w:r w:rsidRPr="00406BF6">
              <w:rPr>
                <w:rFonts w:cstheme="minorHAnsi"/>
              </w:rPr>
              <w:t xml:space="preserve"> $32,265 </w:t>
            </w:r>
          </w:p>
        </w:tc>
        <w:tc>
          <w:tcPr>
            <w:tcW w:w="999" w:type="dxa"/>
            <w:tcBorders>
              <w:top w:val="nil"/>
              <w:left w:val="nil"/>
              <w:bottom w:val="nil"/>
              <w:right w:val="nil"/>
            </w:tcBorders>
            <w:shd w:val="clear" w:color="auto" w:fill="DEEAF6" w:themeFill="accent1" w:themeFillTint="33"/>
            <w:vAlign w:val="center"/>
          </w:tcPr>
          <w:p w14:paraId="711C5DB3" w14:textId="77777777" w:rsidR="00406BF6" w:rsidRPr="00406BF6" w:rsidRDefault="00406BF6" w:rsidP="00F71BBF">
            <w:pPr>
              <w:spacing w:line="252" w:lineRule="auto"/>
              <w:ind w:right="255"/>
              <w:jc w:val="right"/>
              <w:rPr>
                <w:rFonts w:cstheme="minorHAnsi"/>
              </w:rPr>
            </w:pPr>
            <w:r w:rsidRPr="00406BF6">
              <w:rPr>
                <w:rFonts w:cstheme="minorHAnsi"/>
              </w:rPr>
              <w:t>8.1%</w:t>
            </w:r>
          </w:p>
        </w:tc>
      </w:tr>
      <w:tr w:rsidR="00406BF6" w:rsidRPr="000A1E2F" w14:paraId="0F76C63C" w14:textId="77777777" w:rsidTr="001D331B">
        <w:trPr>
          <w:trHeight w:val="288"/>
        </w:trPr>
        <w:tc>
          <w:tcPr>
            <w:tcW w:w="1800" w:type="dxa"/>
            <w:tcBorders>
              <w:top w:val="nil"/>
              <w:left w:val="nil"/>
              <w:bottom w:val="nil"/>
              <w:right w:val="nil"/>
            </w:tcBorders>
            <w:shd w:val="clear" w:color="auto" w:fill="auto"/>
            <w:tcMar>
              <w:top w:w="0" w:type="dxa"/>
              <w:left w:w="108" w:type="dxa"/>
              <w:bottom w:w="0" w:type="dxa"/>
              <w:right w:w="108" w:type="dxa"/>
            </w:tcMar>
            <w:vAlign w:val="center"/>
            <w:hideMark/>
          </w:tcPr>
          <w:p w14:paraId="057F8D2B" w14:textId="77777777" w:rsidR="00406BF6" w:rsidRPr="00406BF6" w:rsidRDefault="00406BF6" w:rsidP="00F71BBF">
            <w:pPr>
              <w:spacing w:line="252" w:lineRule="auto"/>
              <w:ind w:left="62" w:right="-15"/>
              <w:rPr>
                <w:rFonts w:cstheme="minorHAnsi"/>
              </w:rPr>
            </w:pPr>
            <w:r w:rsidRPr="00406BF6">
              <w:rPr>
                <w:rFonts w:cstheme="minorHAnsi"/>
              </w:rPr>
              <w:t>Washington</w:t>
            </w:r>
          </w:p>
        </w:tc>
        <w:tc>
          <w:tcPr>
            <w:tcW w:w="1269" w:type="dxa"/>
            <w:tcBorders>
              <w:top w:val="nil"/>
              <w:left w:val="nil"/>
              <w:bottom w:val="nil"/>
              <w:right w:val="nil"/>
            </w:tcBorders>
            <w:shd w:val="clear" w:color="auto" w:fill="auto"/>
            <w:tcMar>
              <w:top w:w="0" w:type="dxa"/>
              <w:left w:w="108" w:type="dxa"/>
              <w:bottom w:w="0" w:type="dxa"/>
              <w:right w:w="108" w:type="dxa"/>
            </w:tcMar>
            <w:vAlign w:val="center"/>
          </w:tcPr>
          <w:p w14:paraId="09574B4B" w14:textId="77777777" w:rsidR="00406BF6" w:rsidRPr="00406BF6" w:rsidRDefault="00406BF6" w:rsidP="00F71BBF">
            <w:pPr>
              <w:spacing w:line="252" w:lineRule="auto"/>
              <w:ind w:left="44" w:right="-15"/>
              <w:rPr>
                <w:rFonts w:cstheme="minorHAnsi"/>
              </w:rPr>
            </w:pPr>
            <w:r w:rsidRPr="00406BF6">
              <w:rPr>
                <w:rFonts w:cstheme="minorHAnsi"/>
              </w:rPr>
              <w:t xml:space="preserve"> $296,419 </w:t>
            </w:r>
          </w:p>
        </w:tc>
        <w:tc>
          <w:tcPr>
            <w:tcW w:w="1052" w:type="dxa"/>
            <w:tcBorders>
              <w:top w:val="nil"/>
              <w:left w:val="nil"/>
              <w:bottom w:val="nil"/>
              <w:right w:val="nil"/>
            </w:tcBorders>
            <w:shd w:val="clear" w:color="auto" w:fill="auto"/>
            <w:tcMar>
              <w:top w:w="0" w:type="dxa"/>
              <w:left w:w="108" w:type="dxa"/>
              <w:bottom w:w="0" w:type="dxa"/>
              <w:right w:w="108" w:type="dxa"/>
            </w:tcMar>
            <w:vAlign w:val="center"/>
          </w:tcPr>
          <w:p w14:paraId="74F03736" w14:textId="77777777" w:rsidR="00406BF6" w:rsidRPr="00406BF6" w:rsidRDefault="00406BF6" w:rsidP="00F71BBF">
            <w:pPr>
              <w:spacing w:line="252" w:lineRule="auto"/>
              <w:ind w:right="-15"/>
              <w:rPr>
                <w:rFonts w:cstheme="minorHAnsi"/>
              </w:rPr>
            </w:pPr>
            <w:r w:rsidRPr="00406BF6">
              <w:rPr>
                <w:rFonts w:cstheme="minorHAnsi"/>
              </w:rPr>
              <w:t xml:space="preserve">$336,841 </w:t>
            </w:r>
          </w:p>
        </w:tc>
        <w:tc>
          <w:tcPr>
            <w:tcW w:w="1270" w:type="dxa"/>
            <w:tcBorders>
              <w:top w:val="nil"/>
              <w:left w:val="nil"/>
              <w:bottom w:val="nil"/>
              <w:right w:val="nil"/>
            </w:tcBorders>
            <w:shd w:val="clear" w:color="auto" w:fill="auto"/>
            <w:vAlign w:val="center"/>
          </w:tcPr>
          <w:p w14:paraId="3E8310F2" w14:textId="77777777" w:rsidR="00406BF6" w:rsidRPr="00406BF6" w:rsidRDefault="00406BF6" w:rsidP="00F71BBF">
            <w:pPr>
              <w:spacing w:line="252" w:lineRule="auto"/>
              <w:ind w:left="89" w:right="255"/>
              <w:jc w:val="right"/>
              <w:rPr>
                <w:rFonts w:cstheme="minorHAnsi"/>
              </w:rPr>
            </w:pPr>
            <w:r w:rsidRPr="00406BF6">
              <w:rPr>
                <w:rFonts w:cstheme="minorHAnsi"/>
              </w:rPr>
              <w:t xml:space="preserve"> $40,422 </w:t>
            </w:r>
          </w:p>
        </w:tc>
        <w:tc>
          <w:tcPr>
            <w:tcW w:w="999" w:type="dxa"/>
            <w:tcBorders>
              <w:top w:val="nil"/>
              <w:left w:val="nil"/>
              <w:bottom w:val="nil"/>
              <w:right w:val="nil"/>
            </w:tcBorders>
            <w:vAlign w:val="center"/>
          </w:tcPr>
          <w:p w14:paraId="452DF758" w14:textId="77777777" w:rsidR="00406BF6" w:rsidRPr="00406BF6" w:rsidRDefault="00406BF6" w:rsidP="00F71BBF">
            <w:pPr>
              <w:spacing w:line="252" w:lineRule="auto"/>
              <w:ind w:right="255"/>
              <w:jc w:val="right"/>
              <w:rPr>
                <w:rFonts w:cstheme="minorHAnsi"/>
              </w:rPr>
            </w:pPr>
            <w:r w:rsidRPr="00406BF6">
              <w:rPr>
                <w:rFonts w:cstheme="minorHAnsi"/>
              </w:rPr>
              <w:t>13.6%</w:t>
            </w:r>
          </w:p>
        </w:tc>
      </w:tr>
      <w:tr w:rsidR="00406BF6" w:rsidRPr="000A1E2F" w14:paraId="0469B379" w14:textId="77777777" w:rsidTr="001D331B">
        <w:trPr>
          <w:trHeight w:val="288"/>
        </w:trPr>
        <w:tc>
          <w:tcPr>
            <w:tcW w:w="180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5A9FA86A" w14:textId="77777777" w:rsidR="00406BF6" w:rsidRPr="00406BF6" w:rsidRDefault="00406BF6" w:rsidP="00F71BBF">
            <w:pPr>
              <w:spacing w:line="252" w:lineRule="auto"/>
              <w:ind w:left="62" w:right="-15"/>
              <w:rPr>
                <w:rFonts w:cstheme="minorHAnsi"/>
              </w:rPr>
            </w:pPr>
            <w:r w:rsidRPr="00406BF6">
              <w:rPr>
                <w:rFonts w:cstheme="minorHAnsi"/>
              </w:rPr>
              <w:t>Ozaukee</w:t>
            </w:r>
          </w:p>
        </w:tc>
        <w:tc>
          <w:tcPr>
            <w:tcW w:w="12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3A0CC253" w14:textId="77777777" w:rsidR="00406BF6" w:rsidRPr="00406BF6" w:rsidRDefault="00406BF6" w:rsidP="00F71BBF">
            <w:pPr>
              <w:spacing w:line="252" w:lineRule="auto"/>
              <w:ind w:left="44" w:right="-15"/>
              <w:rPr>
                <w:rFonts w:cstheme="minorHAnsi"/>
              </w:rPr>
            </w:pPr>
            <w:r w:rsidRPr="00406BF6">
              <w:rPr>
                <w:rFonts w:cstheme="minorHAnsi"/>
              </w:rPr>
              <w:t xml:space="preserve"> $255,782 </w:t>
            </w:r>
          </w:p>
        </w:tc>
        <w:tc>
          <w:tcPr>
            <w:tcW w:w="10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1687BF80" w14:textId="77777777" w:rsidR="00406BF6" w:rsidRPr="00406BF6" w:rsidRDefault="00406BF6" w:rsidP="00F71BBF">
            <w:pPr>
              <w:spacing w:line="252" w:lineRule="auto"/>
              <w:ind w:right="-15"/>
              <w:rPr>
                <w:rFonts w:cstheme="minorHAnsi"/>
              </w:rPr>
            </w:pPr>
            <w:r w:rsidRPr="00406BF6">
              <w:rPr>
                <w:rFonts w:cstheme="minorHAnsi"/>
              </w:rPr>
              <w:t xml:space="preserve">$288,142 </w:t>
            </w:r>
          </w:p>
        </w:tc>
        <w:tc>
          <w:tcPr>
            <w:tcW w:w="1270" w:type="dxa"/>
            <w:tcBorders>
              <w:top w:val="nil"/>
              <w:left w:val="nil"/>
              <w:bottom w:val="nil"/>
              <w:right w:val="nil"/>
            </w:tcBorders>
            <w:shd w:val="clear" w:color="auto" w:fill="DEEAF6" w:themeFill="accent1" w:themeFillTint="33"/>
            <w:vAlign w:val="center"/>
          </w:tcPr>
          <w:p w14:paraId="70CA40B4" w14:textId="77777777" w:rsidR="00406BF6" w:rsidRPr="00406BF6" w:rsidRDefault="00406BF6" w:rsidP="00F71BBF">
            <w:pPr>
              <w:spacing w:line="252" w:lineRule="auto"/>
              <w:ind w:left="89" w:right="255"/>
              <w:jc w:val="right"/>
              <w:rPr>
                <w:rFonts w:cstheme="minorHAnsi"/>
              </w:rPr>
            </w:pPr>
            <w:r w:rsidRPr="00406BF6">
              <w:rPr>
                <w:rFonts w:cstheme="minorHAnsi"/>
              </w:rPr>
              <w:t xml:space="preserve"> $32,360 </w:t>
            </w:r>
          </w:p>
        </w:tc>
        <w:tc>
          <w:tcPr>
            <w:tcW w:w="999" w:type="dxa"/>
            <w:tcBorders>
              <w:top w:val="nil"/>
              <w:left w:val="nil"/>
              <w:bottom w:val="nil"/>
              <w:right w:val="nil"/>
            </w:tcBorders>
            <w:shd w:val="clear" w:color="auto" w:fill="DEEAF6" w:themeFill="accent1" w:themeFillTint="33"/>
            <w:vAlign w:val="center"/>
          </w:tcPr>
          <w:p w14:paraId="1A2123DE" w14:textId="77777777" w:rsidR="00406BF6" w:rsidRPr="00406BF6" w:rsidRDefault="00406BF6" w:rsidP="00F71BBF">
            <w:pPr>
              <w:spacing w:line="252" w:lineRule="auto"/>
              <w:ind w:right="255"/>
              <w:jc w:val="right"/>
              <w:rPr>
                <w:rFonts w:cstheme="minorHAnsi"/>
              </w:rPr>
            </w:pPr>
            <w:r w:rsidRPr="00406BF6">
              <w:rPr>
                <w:rFonts w:cstheme="minorHAnsi"/>
              </w:rPr>
              <w:t>12.7%</w:t>
            </w:r>
          </w:p>
        </w:tc>
      </w:tr>
      <w:tr w:rsidR="00406BF6" w:rsidRPr="000A1E2F" w14:paraId="56C2AB54" w14:textId="77777777" w:rsidTr="001D331B">
        <w:trPr>
          <w:trHeight w:val="288"/>
        </w:trPr>
        <w:tc>
          <w:tcPr>
            <w:tcW w:w="180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6616E8CB" w14:textId="77777777" w:rsidR="00406BF6" w:rsidRPr="00406BF6" w:rsidRDefault="00406BF6" w:rsidP="00F71BBF">
            <w:pPr>
              <w:spacing w:line="252" w:lineRule="auto"/>
              <w:ind w:left="62" w:right="-15"/>
              <w:rPr>
                <w:rFonts w:cstheme="minorHAnsi"/>
              </w:rPr>
            </w:pPr>
            <w:r w:rsidRPr="00406BF6">
              <w:rPr>
                <w:rFonts w:cstheme="minorHAnsi"/>
              </w:rPr>
              <w:t>Metro Area Avg</w:t>
            </w:r>
          </w:p>
        </w:tc>
        <w:tc>
          <w:tcPr>
            <w:tcW w:w="126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17EDAAA9" w14:textId="77777777" w:rsidR="00406BF6" w:rsidRPr="00406BF6" w:rsidRDefault="00406BF6" w:rsidP="00F71BBF">
            <w:pPr>
              <w:spacing w:line="252" w:lineRule="auto"/>
              <w:ind w:left="44" w:right="-15"/>
              <w:rPr>
                <w:rFonts w:cstheme="minorHAnsi"/>
              </w:rPr>
            </w:pPr>
            <w:r w:rsidRPr="00406BF6">
              <w:rPr>
                <w:rFonts w:cstheme="minorHAnsi"/>
              </w:rPr>
              <w:t xml:space="preserve"> $292,059 </w:t>
            </w:r>
          </w:p>
        </w:tc>
        <w:tc>
          <w:tcPr>
            <w:tcW w:w="1052"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13B8D2FD" w14:textId="77777777" w:rsidR="00406BF6" w:rsidRPr="00406BF6" w:rsidRDefault="00406BF6" w:rsidP="00F71BBF">
            <w:pPr>
              <w:spacing w:line="252" w:lineRule="auto"/>
              <w:ind w:right="-15"/>
              <w:rPr>
                <w:rFonts w:cstheme="minorHAnsi"/>
              </w:rPr>
            </w:pPr>
            <w:r w:rsidRPr="00406BF6">
              <w:rPr>
                <w:rFonts w:cstheme="minorHAnsi"/>
              </w:rPr>
              <w:t xml:space="preserve">$263,456 </w:t>
            </w:r>
          </w:p>
        </w:tc>
        <w:tc>
          <w:tcPr>
            <w:tcW w:w="1270" w:type="dxa"/>
            <w:tcBorders>
              <w:top w:val="nil"/>
              <w:left w:val="nil"/>
              <w:bottom w:val="nil"/>
              <w:right w:val="nil"/>
            </w:tcBorders>
            <w:shd w:val="clear" w:color="auto" w:fill="auto"/>
            <w:vAlign w:val="center"/>
          </w:tcPr>
          <w:p w14:paraId="3482F33A" w14:textId="77777777" w:rsidR="00406BF6" w:rsidRPr="00406BF6" w:rsidRDefault="00406BF6" w:rsidP="00F71BBF">
            <w:pPr>
              <w:spacing w:line="252" w:lineRule="auto"/>
              <w:ind w:left="89" w:right="255"/>
              <w:jc w:val="right"/>
              <w:rPr>
                <w:rFonts w:cstheme="minorHAnsi"/>
              </w:rPr>
            </w:pPr>
            <w:r w:rsidRPr="00406BF6">
              <w:rPr>
                <w:rFonts w:cstheme="minorHAnsi"/>
              </w:rPr>
              <w:t xml:space="preserve"> $31,530 </w:t>
            </w:r>
          </w:p>
        </w:tc>
        <w:tc>
          <w:tcPr>
            <w:tcW w:w="999" w:type="dxa"/>
            <w:tcBorders>
              <w:top w:val="nil"/>
              <w:left w:val="nil"/>
              <w:bottom w:val="nil"/>
              <w:right w:val="nil"/>
            </w:tcBorders>
            <w:vAlign w:val="center"/>
          </w:tcPr>
          <w:p w14:paraId="1EB9BE35" w14:textId="77777777" w:rsidR="00406BF6" w:rsidRPr="00406BF6" w:rsidRDefault="00406BF6" w:rsidP="00F71BBF">
            <w:pPr>
              <w:spacing w:line="252" w:lineRule="auto"/>
              <w:ind w:right="255"/>
              <w:jc w:val="right"/>
              <w:rPr>
                <w:rFonts w:cstheme="minorHAnsi"/>
              </w:rPr>
            </w:pPr>
            <w:r w:rsidRPr="00406BF6">
              <w:rPr>
                <w:rFonts w:cstheme="minorHAnsi"/>
              </w:rPr>
              <w:t>10.8%</w:t>
            </w:r>
          </w:p>
        </w:tc>
      </w:tr>
      <w:tr w:rsidR="00406BF6" w:rsidRPr="000A1E2F" w14:paraId="5F5AA5BE" w14:textId="77777777" w:rsidTr="001D331B">
        <w:trPr>
          <w:trHeight w:val="179"/>
        </w:trPr>
        <w:tc>
          <w:tcPr>
            <w:tcW w:w="18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5339893" w14:textId="77777777" w:rsidR="00406BF6" w:rsidRPr="005D3CB3" w:rsidRDefault="00406BF6" w:rsidP="00F71BBF">
            <w:pPr>
              <w:spacing w:line="252" w:lineRule="auto"/>
              <w:ind w:left="62" w:right="-15"/>
              <w:rPr>
                <w:rFonts w:cstheme="minorHAnsi"/>
                <w:sz w:val="10"/>
                <w:szCs w:val="10"/>
              </w:rPr>
            </w:pP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770F7D3" w14:textId="77777777" w:rsidR="00406BF6" w:rsidRPr="005D3CB3" w:rsidRDefault="00406BF6" w:rsidP="00F71BBF">
            <w:pPr>
              <w:spacing w:line="252" w:lineRule="auto"/>
              <w:ind w:left="44" w:right="-15"/>
              <w:rPr>
                <w:rFonts w:cstheme="minorHAnsi"/>
                <w:sz w:val="10"/>
                <w:szCs w:val="10"/>
              </w:rPr>
            </w:pPr>
            <w:r w:rsidRPr="005D3CB3">
              <w:rPr>
                <w:rFonts w:cstheme="minorHAnsi"/>
                <w:sz w:val="10"/>
                <w:szCs w:val="10"/>
              </w:rPr>
              <w:t xml:space="preserve"> </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3E02AE0" w14:textId="77777777" w:rsidR="00406BF6" w:rsidRPr="005D3CB3" w:rsidRDefault="00406BF6" w:rsidP="00F71BBF">
            <w:pPr>
              <w:spacing w:line="252" w:lineRule="auto"/>
              <w:ind w:right="-15"/>
              <w:rPr>
                <w:rFonts w:cstheme="minorHAnsi"/>
                <w:sz w:val="10"/>
                <w:szCs w:val="10"/>
              </w:rPr>
            </w:pPr>
          </w:p>
        </w:tc>
        <w:tc>
          <w:tcPr>
            <w:tcW w:w="1270" w:type="dxa"/>
            <w:tcBorders>
              <w:top w:val="nil"/>
              <w:left w:val="nil"/>
              <w:bottom w:val="nil"/>
              <w:right w:val="nil"/>
            </w:tcBorders>
            <w:shd w:val="clear" w:color="auto" w:fill="DEEAF6" w:themeFill="accent1" w:themeFillTint="33"/>
            <w:vAlign w:val="center"/>
          </w:tcPr>
          <w:p w14:paraId="39D9A952" w14:textId="77777777" w:rsidR="00406BF6" w:rsidRPr="005D3CB3" w:rsidRDefault="00406BF6" w:rsidP="00F71BBF">
            <w:pPr>
              <w:spacing w:line="252" w:lineRule="auto"/>
              <w:ind w:left="89" w:right="255"/>
              <w:jc w:val="right"/>
              <w:rPr>
                <w:rFonts w:cstheme="minorHAnsi"/>
                <w:sz w:val="10"/>
                <w:szCs w:val="10"/>
              </w:rPr>
            </w:pPr>
          </w:p>
        </w:tc>
        <w:tc>
          <w:tcPr>
            <w:tcW w:w="999" w:type="dxa"/>
            <w:tcBorders>
              <w:top w:val="nil"/>
              <w:left w:val="nil"/>
              <w:bottom w:val="nil"/>
              <w:right w:val="nil"/>
            </w:tcBorders>
            <w:shd w:val="clear" w:color="auto" w:fill="DEEAF6" w:themeFill="accent1" w:themeFillTint="33"/>
            <w:vAlign w:val="center"/>
          </w:tcPr>
          <w:p w14:paraId="6E416F60" w14:textId="77777777" w:rsidR="00406BF6" w:rsidRPr="005D3CB3" w:rsidRDefault="00406BF6" w:rsidP="00F71BBF">
            <w:pPr>
              <w:spacing w:line="252" w:lineRule="auto"/>
              <w:ind w:right="255"/>
              <w:jc w:val="right"/>
              <w:rPr>
                <w:rFonts w:cstheme="minorHAnsi"/>
                <w:sz w:val="10"/>
                <w:szCs w:val="10"/>
              </w:rPr>
            </w:pPr>
          </w:p>
        </w:tc>
      </w:tr>
      <w:tr w:rsidR="00406BF6" w:rsidRPr="000A1E2F" w14:paraId="3276ED95" w14:textId="77777777" w:rsidTr="001D331B">
        <w:trPr>
          <w:trHeight w:val="288"/>
        </w:trPr>
        <w:tc>
          <w:tcPr>
            <w:tcW w:w="1800" w:type="dxa"/>
            <w:tcBorders>
              <w:top w:val="nil"/>
              <w:left w:val="nil"/>
              <w:bottom w:val="nil"/>
              <w:right w:val="nil"/>
            </w:tcBorders>
            <w:shd w:val="clear" w:color="auto" w:fill="auto"/>
            <w:tcMar>
              <w:top w:w="0" w:type="dxa"/>
              <w:left w:w="108" w:type="dxa"/>
              <w:bottom w:w="0" w:type="dxa"/>
              <w:right w:w="108" w:type="dxa"/>
            </w:tcMar>
            <w:vAlign w:val="center"/>
          </w:tcPr>
          <w:p w14:paraId="33954B35" w14:textId="77777777" w:rsidR="00406BF6" w:rsidRPr="00406BF6" w:rsidRDefault="00406BF6" w:rsidP="00F71BBF">
            <w:pPr>
              <w:spacing w:line="252" w:lineRule="auto"/>
              <w:ind w:left="62" w:right="-15"/>
              <w:rPr>
                <w:rFonts w:cstheme="minorHAnsi"/>
              </w:rPr>
            </w:pPr>
            <w:r w:rsidRPr="00406BF6">
              <w:rPr>
                <w:rFonts w:cstheme="minorHAnsi"/>
              </w:rPr>
              <w:t>Racine</w:t>
            </w:r>
          </w:p>
        </w:tc>
        <w:tc>
          <w:tcPr>
            <w:tcW w:w="1269" w:type="dxa"/>
            <w:tcBorders>
              <w:top w:val="nil"/>
              <w:left w:val="nil"/>
              <w:bottom w:val="nil"/>
              <w:right w:val="nil"/>
            </w:tcBorders>
            <w:shd w:val="clear" w:color="auto" w:fill="auto"/>
            <w:tcMar>
              <w:top w:w="0" w:type="dxa"/>
              <w:left w:w="108" w:type="dxa"/>
              <w:bottom w:w="0" w:type="dxa"/>
              <w:right w:w="108" w:type="dxa"/>
            </w:tcMar>
            <w:vAlign w:val="center"/>
          </w:tcPr>
          <w:p w14:paraId="0172FA4A" w14:textId="77777777" w:rsidR="00406BF6" w:rsidRPr="00406BF6" w:rsidRDefault="00406BF6" w:rsidP="00F71BBF">
            <w:pPr>
              <w:spacing w:line="252" w:lineRule="auto"/>
              <w:ind w:left="44" w:right="-15"/>
              <w:rPr>
                <w:rFonts w:cstheme="minorHAnsi"/>
              </w:rPr>
            </w:pPr>
            <w:r w:rsidRPr="00406BF6">
              <w:rPr>
                <w:rFonts w:cstheme="minorHAnsi"/>
              </w:rPr>
              <w:t xml:space="preserve"> $229,132 </w:t>
            </w:r>
          </w:p>
        </w:tc>
        <w:tc>
          <w:tcPr>
            <w:tcW w:w="1052" w:type="dxa"/>
            <w:tcBorders>
              <w:top w:val="nil"/>
              <w:left w:val="nil"/>
              <w:bottom w:val="nil"/>
              <w:right w:val="nil"/>
            </w:tcBorders>
            <w:shd w:val="clear" w:color="auto" w:fill="auto"/>
            <w:tcMar>
              <w:top w:w="0" w:type="dxa"/>
              <w:left w:w="108" w:type="dxa"/>
              <w:bottom w:w="0" w:type="dxa"/>
              <w:right w:w="108" w:type="dxa"/>
            </w:tcMar>
            <w:vAlign w:val="center"/>
          </w:tcPr>
          <w:p w14:paraId="32F887AE" w14:textId="77777777" w:rsidR="00406BF6" w:rsidRPr="00406BF6" w:rsidRDefault="00406BF6" w:rsidP="00F71BBF">
            <w:pPr>
              <w:spacing w:line="252" w:lineRule="auto"/>
              <w:ind w:right="-15"/>
              <w:rPr>
                <w:rFonts w:cstheme="minorHAnsi"/>
              </w:rPr>
            </w:pPr>
            <w:r w:rsidRPr="00406BF6">
              <w:rPr>
                <w:rFonts w:cstheme="minorHAnsi"/>
              </w:rPr>
              <w:t xml:space="preserve">$251,304 </w:t>
            </w:r>
          </w:p>
        </w:tc>
        <w:tc>
          <w:tcPr>
            <w:tcW w:w="1270" w:type="dxa"/>
            <w:tcBorders>
              <w:top w:val="nil"/>
              <w:left w:val="nil"/>
              <w:bottom w:val="nil"/>
              <w:right w:val="nil"/>
            </w:tcBorders>
            <w:shd w:val="clear" w:color="auto" w:fill="auto"/>
            <w:vAlign w:val="center"/>
          </w:tcPr>
          <w:p w14:paraId="0379EACB" w14:textId="77777777" w:rsidR="00406BF6" w:rsidRPr="00406BF6" w:rsidRDefault="00406BF6" w:rsidP="00F71BBF">
            <w:pPr>
              <w:spacing w:line="252" w:lineRule="auto"/>
              <w:ind w:left="89" w:right="255"/>
              <w:jc w:val="right"/>
              <w:rPr>
                <w:rFonts w:cstheme="minorHAnsi"/>
              </w:rPr>
            </w:pPr>
            <w:r w:rsidRPr="00406BF6">
              <w:rPr>
                <w:rFonts w:cstheme="minorHAnsi"/>
              </w:rPr>
              <w:t xml:space="preserve"> $22,172 </w:t>
            </w:r>
          </w:p>
        </w:tc>
        <w:tc>
          <w:tcPr>
            <w:tcW w:w="999" w:type="dxa"/>
            <w:tcBorders>
              <w:top w:val="nil"/>
              <w:left w:val="nil"/>
              <w:bottom w:val="nil"/>
              <w:right w:val="nil"/>
            </w:tcBorders>
            <w:vAlign w:val="center"/>
          </w:tcPr>
          <w:p w14:paraId="77311EC9" w14:textId="77777777" w:rsidR="00406BF6" w:rsidRPr="00406BF6" w:rsidRDefault="00406BF6" w:rsidP="00F71BBF">
            <w:pPr>
              <w:spacing w:line="252" w:lineRule="auto"/>
              <w:ind w:right="255"/>
              <w:jc w:val="right"/>
              <w:rPr>
                <w:rFonts w:cstheme="minorHAnsi"/>
              </w:rPr>
            </w:pPr>
            <w:r w:rsidRPr="00406BF6">
              <w:rPr>
                <w:rFonts w:cstheme="minorHAnsi"/>
              </w:rPr>
              <w:t>9.7%</w:t>
            </w:r>
          </w:p>
        </w:tc>
      </w:tr>
      <w:tr w:rsidR="00406BF6" w:rsidRPr="000A1E2F" w14:paraId="52B4956C" w14:textId="77777777" w:rsidTr="001D331B">
        <w:trPr>
          <w:trHeight w:val="288"/>
        </w:trPr>
        <w:tc>
          <w:tcPr>
            <w:tcW w:w="180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7854639" w14:textId="77777777" w:rsidR="00406BF6" w:rsidRPr="00406BF6" w:rsidRDefault="00406BF6" w:rsidP="00F71BBF">
            <w:pPr>
              <w:spacing w:line="252" w:lineRule="auto"/>
              <w:ind w:left="62" w:right="-15"/>
              <w:rPr>
                <w:rFonts w:cstheme="minorHAnsi"/>
              </w:rPr>
            </w:pPr>
            <w:r w:rsidRPr="00406BF6">
              <w:rPr>
                <w:rFonts w:cstheme="minorHAnsi"/>
              </w:rPr>
              <w:t>Kenosha</w:t>
            </w: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EE3AB0E" w14:textId="77777777" w:rsidR="00406BF6" w:rsidRPr="00406BF6" w:rsidRDefault="00406BF6" w:rsidP="00F71BBF">
            <w:pPr>
              <w:spacing w:line="252" w:lineRule="auto"/>
              <w:ind w:left="44" w:right="-15"/>
              <w:rPr>
                <w:rFonts w:cstheme="minorHAnsi"/>
              </w:rPr>
            </w:pPr>
            <w:r w:rsidRPr="00406BF6">
              <w:rPr>
                <w:rFonts w:cstheme="minorHAnsi"/>
              </w:rPr>
              <w:t xml:space="preserve"> $250,604 </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F263AB0" w14:textId="77777777" w:rsidR="00406BF6" w:rsidRPr="00406BF6" w:rsidRDefault="00406BF6" w:rsidP="00F71BBF">
            <w:pPr>
              <w:spacing w:line="252" w:lineRule="auto"/>
              <w:ind w:right="-15"/>
              <w:rPr>
                <w:rFonts w:cstheme="minorHAnsi"/>
              </w:rPr>
            </w:pPr>
            <w:r w:rsidRPr="00406BF6">
              <w:rPr>
                <w:rFonts w:cstheme="minorHAnsi"/>
              </w:rPr>
              <w:t xml:space="preserve">$276,342 </w:t>
            </w:r>
          </w:p>
        </w:tc>
        <w:tc>
          <w:tcPr>
            <w:tcW w:w="1270" w:type="dxa"/>
            <w:tcBorders>
              <w:top w:val="nil"/>
              <w:left w:val="nil"/>
              <w:bottom w:val="nil"/>
              <w:right w:val="nil"/>
            </w:tcBorders>
            <w:shd w:val="clear" w:color="auto" w:fill="DEEAF6" w:themeFill="accent1" w:themeFillTint="33"/>
            <w:vAlign w:val="center"/>
          </w:tcPr>
          <w:p w14:paraId="68A63C7D" w14:textId="77777777" w:rsidR="00406BF6" w:rsidRPr="00406BF6" w:rsidRDefault="00406BF6" w:rsidP="00F71BBF">
            <w:pPr>
              <w:spacing w:line="252" w:lineRule="auto"/>
              <w:ind w:left="89" w:right="255"/>
              <w:jc w:val="right"/>
              <w:rPr>
                <w:rFonts w:cstheme="minorHAnsi"/>
              </w:rPr>
            </w:pPr>
            <w:r w:rsidRPr="00406BF6">
              <w:rPr>
                <w:rFonts w:cstheme="minorHAnsi"/>
              </w:rPr>
              <w:t xml:space="preserve"> $25,738 </w:t>
            </w:r>
          </w:p>
        </w:tc>
        <w:tc>
          <w:tcPr>
            <w:tcW w:w="999" w:type="dxa"/>
            <w:tcBorders>
              <w:top w:val="nil"/>
              <w:left w:val="nil"/>
              <w:bottom w:val="nil"/>
              <w:right w:val="nil"/>
            </w:tcBorders>
            <w:shd w:val="clear" w:color="auto" w:fill="DEEAF6" w:themeFill="accent1" w:themeFillTint="33"/>
            <w:vAlign w:val="center"/>
          </w:tcPr>
          <w:p w14:paraId="4C6B7D59" w14:textId="77777777" w:rsidR="00406BF6" w:rsidRPr="00406BF6" w:rsidRDefault="00406BF6" w:rsidP="00F71BBF">
            <w:pPr>
              <w:spacing w:line="252" w:lineRule="auto"/>
              <w:ind w:right="255"/>
              <w:jc w:val="right"/>
              <w:rPr>
                <w:rFonts w:cstheme="minorHAnsi"/>
              </w:rPr>
            </w:pPr>
            <w:r w:rsidRPr="00406BF6">
              <w:rPr>
                <w:rFonts w:cstheme="minorHAnsi"/>
              </w:rPr>
              <w:t>10.3%</w:t>
            </w:r>
          </w:p>
        </w:tc>
      </w:tr>
      <w:tr w:rsidR="00406BF6" w:rsidRPr="000A1E2F" w14:paraId="19048606" w14:textId="77777777" w:rsidTr="001D331B">
        <w:trPr>
          <w:trHeight w:val="288"/>
        </w:trPr>
        <w:tc>
          <w:tcPr>
            <w:tcW w:w="1800"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74D5451F" w14:textId="77777777" w:rsidR="00406BF6" w:rsidRPr="00406BF6" w:rsidRDefault="00406BF6" w:rsidP="00F71BBF">
            <w:pPr>
              <w:spacing w:line="252" w:lineRule="auto"/>
              <w:ind w:left="62" w:right="-15"/>
              <w:rPr>
                <w:rFonts w:cstheme="minorHAnsi"/>
              </w:rPr>
            </w:pPr>
            <w:r w:rsidRPr="00406BF6">
              <w:rPr>
                <w:rFonts w:cstheme="minorHAnsi"/>
              </w:rPr>
              <w:t>Walworth</w:t>
            </w:r>
          </w:p>
        </w:tc>
        <w:tc>
          <w:tcPr>
            <w:tcW w:w="126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34C99DE3" w14:textId="77777777" w:rsidR="00406BF6" w:rsidRPr="00406BF6" w:rsidRDefault="00406BF6" w:rsidP="00F71BBF">
            <w:pPr>
              <w:spacing w:line="252" w:lineRule="auto"/>
              <w:ind w:left="44" w:right="-15"/>
              <w:rPr>
                <w:rFonts w:cstheme="minorHAnsi"/>
              </w:rPr>
            </w:pPr>
            <w:r w:rsidRPr="00406BF6">
              <w:rPr>
                <w:rFonts w:cstheme="minorHAnsi"/>
              </w:rPr>
              <w:t xml:space="preserve"> $378,487 </w:t>
            </w:r>
          </w:p>
        </w:tc>
        <w:tc>
          <w:tcPr>
            <w:tcW w:w="105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35BAEF66" w14:textId="77777777" w:rsidR="00406BF6" w:rsidRPr="00406BF6" w:rsidRDefault="00406BF6" w:rsidP="00F71BBF">
            <w:pPr>
              <w:spacing w:line="252" w:lineRule="auto"/>
              <w:ind w:right="-15"/>
              <w:rPr>
                <w:rFonts w:cstheme="minorHAnsi"/>
              </w:rPr>
            </w:pPr>
            <w:r w:rsidRPr="00406BF6">
              <w:rPr>
                <w:rFonts w:cstheme="minorHAnsi"/>
              </w:rPr>
              <w:t xml:space="preserve">$428,671 </w:t>
            </w:r>
          </w:p>
        </w:tc>
        <w:tc>
          <w:tcPr>
            <w:tcW w:w="1270" w:type="dxa"/>
            <w:tcBorders>
              <w:top w:val="nil"/>
              <w:left w:val="nil"/>
              <w:bottom w:val="nil"/>
              <w:right w:val="nil"/>
            </w:tcBorders>
            <w:shd w:val="clear" w:color="auto" w:fill="auto"/>
            <w:vAlign w:val="center"/>
          </w:tcPr>
          <w:p w14:paraId="5F7EDF0A" w14:textId="77777777" w:rsidR="00406BF6" w:rsidRPr="00406BF6" w:rsidRDefault="00406BF6" w:rsidP="00F71BBF">
            <w:pPr>
              <w:spacing w:line="252" w:lineRule="auto"/>
              <w:ind w:left="89" w:right="255"/>
              <w:jc w:val="right"/>
              <w:rPr>
                <w:rFonts w:cstheme="minorHAnsi"/>
              </w:rPr>
            </w:pPr>
            <w:r w:rsidRPr="00406BF6">
              <w:rPr>
                <w:rFonts w:cstheme="minorHAnsi"/>
              </w:rPr>
              <w:t xml:space="preserve"> $50,184 </w:t>
            </w:r>
          </w:p>
        </w:tc>
        <w:tc>
          <w:tcPr>
            <w:tcW w:w="999" w:type="dxa"/>
            <w:tcBorders>
              <w:top w:val="nil"/>
              <w:left w:val="nil"/>
              <w:bottom w:val="nil"/>
              <w:right w:val="nil"/>
            </w:tcBorders>
            <w:vAlign w:val="center"/>
          </w:tcPr>
          <w:p w14:paraId="213F6B4F" w14:textId="77777777" w:rsidR="00406BF6" w:rsidRPr="00406BF6" w:rsidRDefault="00406BF6" w:rsidP="00F71BBF">
            <w:pPr>
              <w:spacing w:line="252" w:lineRule="auto"/>
              <w:ind w:right="255"/>
              <w:jc w:val="right"/>
              <w:rPr>
                <w:rFonts w:cstheme="minorHAnsi"/>
              </w:rPr>
            </w:pPr>
            <w:r w:rsidRPr="00406BF6">
              <w:rPr>
                <w:rFonts w:cstheme="minorHAnsi"/>
              </w:rPr>
              <w:t>13.3%</w:t>
            </w:r>
          </w:p>
        </w:tc>
      </w:tr>
      <w:tr w:rsidR="00406BF6" w:rsidRPr="000A1E2F" w14:paraId="3B9242FF" w14:textId="77777777" w:rsidTr="001D331B">
        <w:trPr>
          <w:trHeight w:val="288"/>
        </w:trPr>
        <w:tc>
          <w:tcPr>
            <w:tcW w:w="1800"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5D96633A" w14:textId="77777777" w:rsidR="00406BF6" w:rsidRPr="00406BF6" w:rsidRDefault="00406BF6" w:rsidP="00F71BBF">
            <w:pPr>
              <w:spacing w:line="252" w:lineRule="auto"/>
              <w:ind w:left="62" w:right="-15"/>
              <w:rPr>
                <w:rFonts w:cstheme="minorHAnsi"/>
              </w:rPr>
            </w:pPr>
            <w:r w:rsidRPr="00406BF6">
              <w:rPr>
                <w:rFonts w:cstheme="minorHAnsi"/>
              </w:rPr>
              <w:t>SE WI Area Avg</w:t>
            </w:r>
          </w:p>
        </w:tc>
        <w:tc>
          <w:tcPr>
            <w:tcW w:w="126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6D699A1C" w14:textId="77777777" w:rsidR="00406BF6" w:rsidRPr="00406BF6" w:rsidRDefault="00406BF6" w:rsidP="00F71BBF">
            <w:pPr>
              <w:spacing w:line="252" w:lineRule="auto"/>
              <w:ind w:left="44" w:right="-15"/>
              <w:rPr>
                <w:rFonts w:cstheme="minorHAnsi"/>
              </w:rPr>
            </w:pPr>
            <w:r w:rsidRPr="00406BF6">
              <w:rPr>
                <w:rFonts w:cstheme="minorHAnsi"/>
              </w:rPr>
              <w:t xml:space="preserve"> $289,494 </w:t>
            </w:r>
          </w:p>
        </w:tc>
        <w:tc>
          <w:tcPr>
            <w:tcW w:w="10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074A0F8C" w14:textId="77777777" w:rsidR="00406BF6" w:rsidRPr="00406BF6" w:rsidRDefault="00406BF6" w:rsidP="00F71BBF">
            <w:pPr>
              <w:spacing w:line="252" w:lineRule="auto"/>
              <w:ind w:right="-15"/>
              <w:rPr>
                <w:rFonts w:cstheme="minorHAnsi"/>
              </w:rPr>
            </w:pPr>
            <w:r w:rsidRPr="00406BF6">
              <w:rPr>
                <w:rFonts w:cstheme="minorHAnsi"/>
              </w:rPr>
              <w:t xml:space="preserve">$321,525 </w:t>
            </w:r>
          </w:p>
        </w:tc>
        <w:tc>
          <w:tcPr>
            <w:tcW w:w="1270" w:type="dxa"/>
            <w:tcBorders>
              <w:top w:val="nil"/>
              <w:left w:val="nil"/>
              <w:bottom w:val="nil"/>
              <w:right w:val="nil"/>
            </w:tcBorders>
            <w:shd w:val="clear" w:color="auto" w:fill="DEEAF6" w:themeFill="accent1" w:themeFillTint="33"/>
            <w:vAlign w:val="center"/>
          </w:tcPr>
          <w:p w14:paraId="3F432C93" w14:textId="77777777" w:rsidR="00406BF6" w:rsidRPr="00406BF6" w:rsidRDefault="00406BF6" w:rsidP="00F71BBF">
            <w:pPr>
              <w:spacing w:line="252" w:lineRule="auto"/>
              <w:ind w:left="89" w:right="255"/>
              <w:jc w:val="right"/>
              <w:rPr>
                <w:rFonts w:cstheme="minorHAnsi"/>
              </w:rPr>
            </w:pPr>
            <w:r w:rsidRPr="00406BF6">
              <w:rPr>
                <w:rFonts w:cstheme="minorHAnsi"/>
              </w:rPr>
              <w:t xml:space="preserve"> $32,030 </w:t>
            </w:r>
          </w:p>
        </w:tc>
        <w:tc>
          <w:tcPr>
            <w:tcW w:w="999" w:type="dxa"/>
            <w:tcBorders>
              <w:top w:val="nil"/>
              <w:left w:val="nil"/>
              <w:bottom w:val="nil"/>
              <w:right w:val="nil"/>
            </w:tcBorders>
            <w:shd w:val="clear" w:color="auto" w:fill="DEEAF6" w:themeFill="accent1" w:themeFillTint="33"/>
            <w:vAlign w:val="center"/>
          </w:tcPr>
          <w:p w14:paraId="0F11DE85" w14:textId="77777777" w:rsidR="00406BF6" w:rsidRPr="00406BF6" w:rsidRDefault="00406BF6" w:rsidP="00F71BBF">
            <w:pPr>
              <w:spacing w:line="252" w:lineRule="auto"/>
              <w:ind w:right="255"/>
              <w:jc w:val="right"/>
              <w:rPr>
                <w:rFonts w:cstheme="minorHAnsi"/>
              </w:rPr>
            </w:pPr>
            <w:r w:rsidRPr="00406BF6">
              <w:rPr>
                <w:rFonts w:cstheme="minorHAnsi"/>
              </w:rPr>
              <w:t>11.1%</w:t>
            </w:r>
          </w:p>
        </w:tc>
      </w:tr>
    </w:tbl>
    <w:p w14:paraId="51245C9D" w14:textId="1F56A91C" w:rsidR="00F43485" w:rsidRDefault="00F43485" w:rsidP="000A1E2F">
      <w:pPr>
        <w:spacing w:before="120" w:after="120" w:line="300" w:lineRule="auto"/>
        <w:ind w:left="-360" w:right="-360"/>
        <w:contextualSpacing/>
        <w:rPr>
          <w:rFonts w:ascii="Arial" w:hAnsi="Arial" w:cs="Arial"/>
          <w:sz w:val="21"/>
          <w:szCs w:val="21"/>
        </w:rPr>
      </w:pPr>
      <w:r w:rsidRPr="000A1E2F">
        <w:rPr>
          <w:rFonts w:ascii="Arial" w:hAnsi="Arial" w:cs="Arial"/>
          <w:sz w:val="21"/>
          <w:szCs w:val="21"/>
        </w:rPr>
        <w:t xml:space="preserve">The </w:t>
      </w:r>
      <w:r w:rsidRPr="00214A45">
        <w:rPr>
          <w:rFonts w:ascii="Arial" w:hAnsi="Arial" w:cs="Arial"/>
          <w:b/>
          <w:bCs/>
          <w:sz w:val="21"/>
          <w:szCs w:val="21"/>
        </w:rPr>
        <w:t xml:space="preserve">outlook for the </w:t>
      </w:r>
      <w:r w:rsidR="00214A45" w:rsidRPr="00214A45">
        <w:rPr>
          <w:rFonts w:ascii="Arial" w:hAnsi="Arial" w:cs="Arial"/>
          <w:b/>
          <w:bCs/>
          <w:sz w:val="21"/>
          <w:szCs w:val="21"/>
        </w:rPr>
        <w:t xml:space="preserve">2022 </w:t>
      </w:r>
      <w:r w:rsidRPr="00214A45">
        <w:rPr>
          <w:rFonts w:ascii="Arial" w:hAnsi="Arial" w:cs="Arial"/>
          <w:b/>
          <w:bCs/>
          <w:sz w:val="21"/>
          <w:szCs w:val="21"/>
        </w:rPr>
        <w:t>market is</w:t>
      </w:r>
      <w:r w:rsidR="00BB46BC" w:rsidRPr="00BB46BC">
        <w:rPr>
          <w:rFonts w:ascii="Arial" w:hAnsi="Arial" w:cs="Arial"/>
          <w:sz w:val="21"/>
          <w:szCs w:val="21"/>
        </w:rPr>
        <w:t xml:space="preserve"> </w:t>
      </w:r>
      <w:r w:rsidR="00BB46BC" w:rsidRPr="00BB46BC">
        <w:rPr>
          <w:rFonts w:ascii="Arial" w:hAnsi="Arial" w:cs="Arial"/>
          <w:b/>
          <w:bCs/>
          <w:sz w:val="21"/>
          <w:szCs w:val="21"/>
        </w:rPr>
        <w:t>excellent</w:t>
      </w:r>
      <w:r w:rsidRPr="000A1E2F">
        <w:rPr>
          <w:rFonts w:ascii="Arial" w:hAnsi="Arial" w:cs="Arial"/>
          <w:sz w:val="21"/>
          <w:szCs w:val="21"/>
        </w:rPr>
        <w:t>, but slightly slower</w:t>
      </w:r>
      <w:r w:rsidR="006C03DB">
        <w:rPr>
          <w:rFonts w:ascii="Arial" w:hAnsi="Arial" w:cs="Arial"/>
          <w:sz w:val="21"/>
          <w:szCs w:val="21"/>
        </w:rPr>
        <w:t xml:space="preserve"> than 2021</w:t>
      </w:r>
      <w:r w:rsidRPr="000A1E2F">
        <w:rPr>
          <w:rFonts w:ascii="Arial" w:hAnsi="Arial" w:cs="Arial"/>
          <w:sz w:val="21"/>
          <w:szCs w:val="21"/>
        </w:rPr>
        <w:t xml:space="preserve">. Brokers are </w:t>
      </w:r>
      <w:r w:rsidR="00214A45">
        <w:rPr>
          <w:rFonts w:ascii="Arial" w:hAnsi="Arial" w:cs="Arial"/>
          <w:sz w:val="21"/>
          <w:szCs w:val="21"/>
        </w:rPr>
        <w:t xml:space="preserve">expecting the winter and spring markets to be brisk with </w:t>
      </w:r>
      <w:r w:rsidR="007E12FC">
        <w:rPr>
          <w:rFonts w:ascii="Arial" w:hAnsi="Arial" w:cs="Arial"/>
          <w:sz w:val="21"/>
          <w:szCs w:val="21"/>
        </w:rPr>
        <w:t xml:space="preserve">some </w:t>
      </w:r>
      <w:r w:rsidR="006C03DB">
        <w:rPr>
          <w:rFonts w:ascii="Arial" w:hAnsi="Arial" w:cs="Arial"/>
          <w:sz w:val="21"/>
          <w:szCs w:val="21"/>
        </w:rPr>
        <w:t>listings</w:t>
      </w:r>
      <w:r w:rsidRPr="000A1E2F">
        <w:rPr>
          <w:rFonts w:ascii="Arial" w:hAnsi="Arial" w:cs="Arial"/>
          <w:sz w:val="21"/>
          <w:szCs w:val="21"/>
        </w:rPr>
        <w:t xml:space="preserve"> </w:t>
      </w:r>
      <w:r w:rsidR="007E12FC">
        <w:rPr>
          <w:rFonts w:ascii="Arial" w:hAnsi="Arial" w:cs="Arial"/>
          <w:sz w:val="21"/>
          <w:szCs w:val="21"/>
        </w:rPr>
        <w:t>getting multiple offers</w:t>
      </w:r>
      <w:r w:rsidR="00FD5A6A">
        <w:rPr>
          <w:rFonts w:ascii="Arial" w:hAnsi="Arial" w:cs="Arial"/>
          <w:sz w:val="21"/>
          <w:szCs w:val="21"/>
        </w:rPr>
        <w:t xml:space="preserve">, but </w:t>
      </w:r>
      <w:r w:rsidR="006C03DB">
        <w:rPr>
          <w:rFonts w:ascii="Arial" w:hAnsi="Arial" w:cs="Arial"/>
          <w:sz w:val="21"/>
          <w:szCs w:val="21"/>
        </w:rPr>
        <w:t xml:space="preserve">overall </w:t>
      </w:r>
      <w:r w:rsidR="00214A45">
        <w:rPr>
          <w:rFonts w:ascii="Arial" w:hAnsi="Arial" w:cs="Arial"/>
          <w:sz w:val="21"/>
          <w:szCs w:val="21"/>
        </w:rPr>
        <w:t>not as intense a</w:t>
      </w:r>
      <w:r w:rsidR="00FD5A6A">
        <w:rPr>
          <w:rFonts w:ascii="Arial" w:hAnsi="Arial" w:cs="Arial"/>
          <w:sz w:val="21"/>
          <w:szCs w:val="21"/>
        </w:rPr>
        <w:t xml:space="preserve">s </w:t>
      </w:r>
      <w:r w:rsidR="00214A45">
        <w:rPr>
          <w:rFonts w:ascii="Arial" w:hAnsi="Arial" w:cs="Arial"/>
          <w:sz w:val="21"/>
          <w:szCs w:val="21"/>
        </w:rPr>
        <w:t>last</w:t>
      </w:r>
      <w:r w:rsidR="00FD5A6A">
        <w:rPr>
          <w:rFonts w:ascii="Arial" w:hAnsi="Arial" w:cs="Arial"/>
          <w:sz w:val="21"/>
          <w:szCs w:val="21"/>
        </w:rPr>
        <w:t xml:space="preserve"> spring.</w:t>
      </w:r>
      <w:r w:rsidR="00E559AE">
        <w:rPr>
          <w:rFonts w:ascii="Arial" w:hAnsi="Arial" w:cs="Arial"/>
          <w:sz w:val="21"/>
          <w:szCs w:val="21"/>
        </w:rPr>
        <w:t xml:space="preserve"> </w:t>
      </w:r>
    </w:p>
    <w:p w14:paraId="6F41BD7A" w14:textId="480EDC78" w:rsidR="00214A45" w:rsidRDefault="00214A45" w:rsidP="000A1E2F">
      <w:pPr>
        <w:spacing w:before="120" w:after="120" w:line="300" w:lineRule="auto"/>
        <w:ind w:left="-360" w:right="-360"/>
        <w:contextualSpacing/>
        <w:rPr>
          <w:rFonts w:ascii="Arial" w:hAnsi="Arial" w:cs="Arial"/>
          <w:sz w:val="21"/>
          <w:szCs w:val="21"/>
        </w:rPr>
      </w:pPr>
    </w:p>
    <w:p w14:paraId="7D2CB7D7" w14:textId="7F38A7BD" w:rsidR="00214A45" w:rsidRPr="000A1E2F" w:rsidRDefault="009E62B4" w:rsidP="000A1E2F">
      <w:pPr>
        <w:spacing w:before="120" w:after="120" w:line="300" w:lineRule="auto"/>
        <w:ind w:left="-360" w:right="-360"/>
        <w:contextualSpacing/>
        <w:rPr>
          <w:rFonts w:ascii="Arial" w:hAnsi="Arial" w:cs="Arial"/>
          <w:sz w:val="21"/>
          <w:szCs w:val="21"/>
        </w:rPr>
      </w:pPr>
      <w:r>
        <w:rPr>
          <w:rFonts w:ascii="Arial" w:hAnsi="Arial" w:cs="Arial"/>
          <w:sz w:val="21"/>
          <w:szCs w:val="21"/>
        </w:rPr>
        <w:t>The biggest X factor in the real estate market right now appears to be m</w:t>
      </w:r>
      <w:r w:rsidR="00214A45">
        <w:rPr>
          <w:rFonts w:ascii="Arial" w:hAnsi="Arial" w:cs="Arial"/>
          <w:sz w:val="21"/>
          <w:szCs w:val="21"/>
        </w:rPr>
        <w:t>ortgage</w:t>
      </w:r>
      <w:r>
        <w:rPr>
          <w:rFonts w:ascii="Arial" w:hAnsi="Arial" w:cs="Arial"/>
          <w:sz w:val="21"/>
          <w:szCs w:val="21"/>
        </w:rPr>
        <w:t xml:space="preserve"> rates. They</w:t>
      </w:r>
      <w:r w:rsidR="00214A45">
        <w:rPr>
          <w:rFonts w:ascii="Arial" w:hAnsi="Arial" w:cs="Arial"/>
          <w:sz w:val="21"/>
          <w:szCs w:val="21"/>
        </w:rPr>
        <w:t xml:space="preserve"> are forecast to be </w:t>
      </w:r>
      <w:r w:rsidR="00160EED">
        <w:rPr>
          <w:rFonts w:ascii="Arial" w:hAnsi="Arial" w:cs="Arial"/>
          <w:sz w:val="21"/>
          <w:szCs w:val="21"/>
        </w:rPr>
        <w:t xml:space="preserve">in vicinity of 3.5% in 2022. </w:t>
      </w:r>
      <w:r w:rsidR="005D3CB3">
        <w:rPr>
          <w:rFonts w:ascii="Arial" w:hAnsi="Arial" w:cs="Arial"/>
          <w:sz w:val="21"/>
          <w:szCs w:val="21"/>
        </w:rPr>
        <w:t>T</w:t>
      </w:r>
      <w:r w:rsidR="00160EED">
        <w:rPr>
          <w:rFonts w:ascii="Arial" w:hAnsi="Arial" w:cs="Arial"/>
          <w:sz w:val="21"/>
          <w:szCs w:val="21"/>
        </w:rPr>
        <w:t>hat is higher than what the market saw in 2021</w:t>
      </w:r>
      <w:r w:rsidR="005D3CB3">
        <w:rPr>
          <w:rFonts w:ascii="Arial" w:hAnsi="Arial" w:cs="Arial"/>
          <w:sz w:val="21"/>
          <w:szCs w:val="21"/>
        </w:rPr>
        <w:t xml:space="preserve"> and will likely push some potential buyers out. Nonetheless, it is an extremely good range historically that buyers should take advantage of as </w:t>
      </w:r>
      <w:r w:rsidR="006C03DB">
        <w:rPr>
          <w:rFonts w:ascii="Arial" w:hAnsi="Arial" w:cs="Arial"/>
          <w:sz w:val="21"/>
          <w:szCs w:val="21"/>
        </w:rPr>
        <w:t xml:space="preserve">uncertainty over the impact of future </w:t>
      </w:r>
      <w:r w:rsidR="005D3CB3">
        <w:rPr>
          <w:rFonts w:ascii="Arial" w:hAnsi="Arial" w:cs="Arial"/>
          <w:sz w:val="21"/>
          <w:szCs w:val="21"/>
        </w:rPr>
        <w:t xml:space="preserve">inflation </w:t>
      </w:r>
      <w:r w:rsidR="006C03DB">
        <w:rPr>
          <w:rFonts w:ascii="Arial" w:hAnsi="Arial" w:cs="Arial"/>
          <w:sz w:val="21"/>
          <w:szCs w:val="21"/>
        </w:rPr>
        <w:t>on the economy is a concern</w:t>
      </w:r>
      <w:r w:rsidR="005D3CB3">
        <w:rPr>
          <w:rFonts w:ascii="Arial" w:hAnsi="Arial" w:cs="Arial"/>
          <w:sz w:val="21"/>
          <w:szCs w:val="21"/>
        </w:rPr>
        <w:t xml:space="preserve">. </w:t>
      </w:r>
    </w:p>
    <w:p w14:paraId="35B6EF4D" w14:textId="4607268D" w:rsidR="00D8709F" w:rsidRPr="000A1E2F" w:rsidRDefault="00D8709F" w:rsidP="000A1E2F">
      <w:pPr>
        <w:spacing w:before="120" w:after="120" w:line="300" w:lineRule="auto"/>
        <w:ind w:left="-360" w:right="-360"/>
        <w:contextualSpacing/>
        <w:rPr>
          <w:rFonts w:ascii="Arial" w:hAnsi="Arial" w:cs="Arial"/>
          <w:sz w:val="21"/>
          <w:szCs w:val="21"/>
        </w:rPr>
      </w:pPr>
    </w:p>
    <w:p w14:paraId="1B5ED74D" w14:textId="71833A9D" w:rsidR="00D8709F" w:rsidRDefault="006C03DB" w:rsidP="000A1E2F">
      <w:pPr>
        <w:spacing w:before="120" w:after="120" w:line="300" w:lineRule="auto"/>
        <w:ind w:left="-360" w:right="-360"/>
        <w:contextualSpacing/>
        <w:rPr>
          <w:rFonts w:ascii="Arial" w:hAnsi="Arial" w:cs="Arial"/>
          <w:sz w:val="21"/>
          <w:szCs w:val="21"/>
        </w:rPr>
      </w:pPr>
      <w:r>
        <w:rPr>
          <w:rFonts w:ascii="Arial" w:hAnsi="Arial" w:cs="Arial"/>
          <w:sz w:val="21"/>
          <w:szCs w:val="21"/>
        </w:rPr>
        <w:t xml:space="preserve">The 2019 housing market </w:t>
      </w:r>
      <w:r w:rsidR="00BB46BC">
        <w:rPr>
          <w:rFonts w:ascii="Arial" w:hAnsi="Arial" w:cs="Arial"/>
          <w:sz w:val="21"/>
          <w:szCs w:val="21"/>
        </w:rPr>
        <w:t xml:space="preserve">may be a good model for </w:t>
      </w:r>
      <w:r w:rsidR="00CB0548">
        <w:rPr>
          <w:rFonts w:ascii="Arial" w:hAnsi="Arial" w:cs="Arial"/>
          <w:sz w:val="21"/>
          <w:szCs w:val="21"/>
        </w:rPr>
        <w:t>Metropolitan Milwaukee</w:t>
      </w:r>
      <w:r w:rsidR="00BB46BC">
        <w:rPr>
          <w:rFonts w:ascii="Arial" w:hAnsi="Arial" w:cs="Arial"/>
          <w:sz w:val="21"/>
          <w:szCs w:val="21"/>
        </w:rPr>
        <w:t xml:space="preserve"> </w:t>
      </w:r>
      <w:r w:rsidR="00F0620C">
        <w:rPr>
          <w:rFonts w:ascii="Arial" w:hAnsi="Arial" w:cs="Arial"/>
          <w:sz w:val="21"/>
          <w:szCs w:val="21"/>
        </w:rPr>
        <w:t xml:space="preserve">in 2022, when the market just topped 21,000 unit sales. Price appreciation will most likely cool a bit as well, </w:t>
      </w:r>
      <w:r w:rsidR="00526C79">
        <w:rPr>
          <w:rFonts w:ascii="Arial" w:hAnsi="Arial" w:cs="Arial"/>
          <w:sz w:val="21"/>
          <w:szCs w:val="21"/>
        </w:rPr>
        <w:t xml:space="preserve">staying out of double-digit </w:t>
      </w:r>
      <w:r w:rsidR="00526C79">
        <w:rPr>
          <w:rFonts w:ascii="Arial" w:hAnsi="Arial" w:cs="Arial"/>
          <w:sz w:val="21"/>
          <w:szCs w:val="21"/>
        </w:rPr>
        <w:lastRenderedPageBreak/>
        <w:t>range and settling in around 3% - 5%</w:t>
      </w:r>
      <w:r w:rsidR="00C14C58">
        <w:rPr>
          <w:rFonts w:ascii="Arial" w:hAnsi="Arial" w:cs="Arial"/>
          <w:sz w:val="21"/>
          <w:szCs w:val="21"/>
        </w:rPr>
        <w:t>.</w:t>
      </w:r>
      <w:r w:rsidR="00D8709F" w:rsidRPr="000A1E2F">
        <w:rPr>
          <w:rFonts w:ascii="Arial" w:hAnsi="Arial" w:cs="Arial"/>
          <w:sz w:val="21"/>
          <w:szCs w:val="21"/>
        </w:rPr>
        <w:t xml:space="preserve"> </w:t>
      </w:r>
      <w:r w:rsidR="00CB0548">
        <w:rPr>
          <w:rFonts w:ascii="Arial" w:hAnsi="Arial" w:cs="Arial"/>
          <w:sz w:val="21"/>
          <w:szCs w:val="21"/>
        </w:rPr>
        <w:t>Even with a slightly slower market, t</w:t>
      </w:r>
      <w:r w:rsidR="00BB46BC">
        <w:rPr>
          <w:rFonts w:ascii="Arial" w:hAnsi="Arial" w:cs="Arial"/>
          <w:sz w:val="21"/>
          <w:szCs w:val="21"/>
        </w:rPr>
        <w:t xml:space="preserve">he availability of listings will continue to be the biggest obstacle for potential buyers to contend with this year. </w:t>
      </w:r>
    </w:p>
    <w:p w14:paraId="1796AB59" w14:textId="665E6C6E" w:rsidR="00E559AE" w:rsidRDefault="00E559AE" w:rsidP="000A1E2F">
      <w:pPr>
        <w:spacing w:before="120" w:after="120" w:line="300" w:lineRule="auto"/>
        <w:ind w:left="-360" w:right="-360"/>
        <w:contextualSpacing/>
        <w:rPr>
          <w:rFonts w:ascii="Arial" w:hAnsi="Arial" w:cs="Arial"/>
          <w:sz w:val="21"/>
          <w:szCs w:val="21"/>
        </w:rPr>
      </w:pPr>
    </w:p>
    <w:p w14:paraId="6367EF38" w14:textId="04AFBC61" w:rsidR="00E559AE" w:rsidRPr="003F1A08" w:rsidRDefault="00E559AE" w:rsidP="00E559AE">
      <w:pPr>
        <w:spacing w:before="120" w:after="120" w:line="300" w:lineRule="auto"/>
        <w:ind w:left="-360" w:right="-360"/>
        <w:contextualSpacing/>
        <w:jc w:val="both"/>
        <w:rPr>
          <w:rFonts w:ascii="Arial" w:hAnsi="Arial" w:cs="Arial"/>
          <w:b/>
          <w:bCs/>
          <w:sz w:val="21"/>
          <w:szCs w:val="21"/>
          <w:u w:val="single"/>
        </w:rPr>
      </w:pPr>
      <w:r w:rsidRPr="003F1A08">
        <w:rPr>
          <w:rFonts w:ascii="Arial" w:hAnsi="Arial" w:cs="Arial"/>
          <w:b/>
          <w:bCs/>
          <w:sz w:val="21"/>
          <w:szCs w:val="21"/>
          <w:u w:val="single"/>
        </w:rPr>
        <w:t>Where to go</w:t>
      </w:r>
    </w:p>
    <w:p w14:paraId="255116CE" w14:textId="213792D8" w:rsidR="00E559AE" w:rsidRPr="003F1A08" w:rsidRDefault="00E559AE" w:rsidP="00E559AE">
      <w:pPr>
        <w:spacing w:before="120" w:after="120" w:line="300" w:lineRule="auto"/>
        <w:ind w:left="-360" w:right="-360"/>
        <w:contextualSpacing/>
        <w:rPr>
          <w:rFonts w:ascii="Arial" w:hAnsi="Arial" w:cs="Arial"/>
          <w:sz w:val="21"/>
          <w:szCs w:val="21"/>
        </w:rPr>
      </w:pPr>
      <w:r w:rsidRPr="003F1A08">
        <w:rPr>
          <w:rFonts w:ascii="Arial" w:hAnsi="Arial" w:cs="Arial"/>
          <w:sz w:val="21"/>
          <w:szCs w:val="21"/>
        </w:rPr>
        <w:t>Buyers should seek the counsel of a REALTOR® in determining their best housing options, and sellers need a REALTORS® expert advice in making correct marketing decisions with their homes.</w:t>
      </w:r>
    </w:p>
    <w:p w14:paraId="32E4A00C" w14:textId="1CD25644" w:rsidR="00E559AE" w:rsidRPr="003F1A08" w:rsidRDefault="00E559AE" w:rsidP="00E559AE">
      <w:pPr>
        <w:spacing w:before="120" w:after="120" w:line="300" w:lineRule="auto"/>
        <w:ind w:left="-360" w:right="-360"/>
        <w:contextualSpacing/>
        <w:rPr>
          <w:rFonts w:ascii="Arial" w:hAnsi="Arial" w:cs="Arial"/>
          <w:sz w:val="21"/>
          <w:szCs w:val="21"/>
        </w:rPr>
      </w:pPr>
    </w:p>
    <w:p w14:paraId="07DCC394" w14:textId="75222784" w:rsidR="00E559AE" w:rsidRPr="003F1A08" w:rsidRDefault="00E559AE" w:rsidP="00E559AE">
      <w:pPr>
        <w:spacing w:before="120" w:after="120" w:line="300" w:lineRule="auto"/>
        <w:ind w:left="-360" w:right="-360"/>
        <w:contextualSpacing/>
        <w:rPr>
          <w:rFonts w:ascii="Arial" w:hAnsi="Arial" w:cs="Arial"/>
          <w:sz w:val="21"/>
          <w:szCs w:val="21"/>
        </w:rPr>
      </w:pPr>
      <w:r w:rsidRPr="003F1A08">
        <w:rPr>
          <w:rFonts w:ascii="Arial" w:hAnsi="Arial" w:cs="Arial"/>
          <w:sz w:val="21"/>
          <w:szCs w:val="21"/>
        </w:rPr>
        <w:t>The Greater Milwaukee Association of REALTORS</w:t>
      </w:r>
      <w:r w:rsidRPr="003F1A08">
        <w:rPr>
          <w:rFonts w:ascii="Arial" w:hAnsi="Arial" w:cs="Arial"/>
          <w:sz w:val="21"/>
          <w:szCs w:val="21"/>
          <w:vertAlign w:val="superscript"/>
        </w:rPr>
        <w:t>®</w:t>
      </w:r>
      <w:r w:rsidRPr="003F1A08">
        <w:rPr>
          <w:rFonts w:ascii="Arial" w:hAnsi="Arial" w:cs="Arial"/>
          <w:sz w:val="21"/>
          <w:szCs w:val="21"/>
        </w:rPr>
        <w:t xml:space="preserve"> is a 5,000-member strong professional organization dedicated to providing information, services, and products to help REALTORS</w:t>
      </w:r>
      <w:r w:rsidRPr="003F1A08">
        <w:rPr>
          <w:rFonts w:ascii="Arial" w:hAnsi="Arial" w:cs="Arial"/>
          <w:sz w:val="21"/>
          <w:szCs w:val="21"/>
          <w:vertAlign w:val="superscript"/>
        </w:rPr>
        <w:t>®</w:t>
      </w:r>
      <w:r w:rsidRPr="003F1A08">
        <w:rPr>
          <w:rFonts w:ascii="Arial" w:hAnsi="Arial" w:cs="Arial"/>
          <w:sz w:val="21"/>
          <w:szCs w:val="21"/>
        </w:rPr>
        <w:t xml:space="preserve"> help their clients buy and sell real estate.  Data for this report was collected by Metro MLS, Inc. a wholly owned subsidiary of the GMAR.</w:t>
      </w:r>
    </w:p>
    <w:p w14:paraId="3B47C8BA" w14:textId="13795EB9" w:rsidR="00E559AE" w:rsidRPr="003F1A08" w:rsidRDefault="00E559AE" w:rsidP="00E559AE">
      <w:pPr>
        <w:spacing w:before="120" w:after="120" w:line="300" w:lineRule="auto"/>
        <w:ind w:left="-360" w:right="-360"/>
        <w:contextualSpacing/>
        <w:rPr>
          <w:rFonts w:ascii="Arial" w:hAnsi="Arial" w:cs="Arial"/>
          <w:sz w:val="21"/>
          <w:szCs w:val="21"/>
        </w:rPr>
      </w:pPr>
    </w:p>
    <w:p w14:paraId="44EEFB80" w14:textId="7888E240" w:rsidR="00E559AE" w:rsidRPr="003F1A08" w:rsidRDefault="00E559AE" w:rsidP="00E559AE">
      <w:pPr>
        <w:spacing w:before="120" w:after="120" w:line="300" w:lineRule="auto"/>
        <w:ind w:left="-360" w:right="-360"/>
        <w:contextualSpacing/>
        <w:jc w:val="both"/>
        <w:rPr>
          <w:rFonts w:ascii="Arial" w:hAnsi="Arial" w:cs="Arial"/>
          <w:sz w:val="18"/>
          <w:szCs w:val="18"/>
        </w:rPr>
      </w:pPr>
      <w:r w:rsidRPr="003F1A08">
        <w:rPr>
          <w:rFonts w:ascii="Arial" w:hAnsi="Arial" w:cs="Arial"/>
          <w:sz w:val="18"/>
          <w:szCs w:val="18"/>
        </w:rPr>
        <w:t>* Sales and Listing figures differ between the “Monthly Stats” and quarter or year-end numbers, because the collection of Monthly Stats ends on the 10</w:t>
      </w:r>
      <w:r w:rsidRPr="003F1A08">
        <w:rPr>
          <w:rFonts w:ascii="Arial" w:hAnsi="Arial" w:cs="Arial"/>
          <w:sz w:val="18"/>
          <w:szCs w:val="18"/>
          <w:vertAlign w:val="superscript"/>
        </w:rPr>
        <w:t>th</w:t>
      </w:r>
      <w:r w:rsidRPr="003F1A08">
        <w:rPr>
          <w:rFonts w:ascii="Arial" w:hAnsi="Arial" w:cs="Arial"/>
          <w:sz w:val="18"/>
          <w:szCs w:val="18"/>
        </w:rPr>
        <w:t xml:space="preserve"> of each month, whereas quarters are a continuous tally to 12/31.  For example, if a sale occurred on July 29</w:t>
      </w:r>
      <w:r w:rsidRPr="003F1A08">
        <w:rPr>
          <w:rFonts w:ascii="Arial" w:hAnsi="Arial" w:cs="Arial"/>
          <w:sz w:val="18"/>
          <w:szCs w:val="18"/>
          <w:vertAlign w:val="superscript"/>
        </w:rPr>
        <w:t>th</w:t>
      </w:r>
      <w:r w:rsidRPr="003F1A08">
        <w:rPr>
          <w:rFonts w:ascii="Arial" w:hAnsi="Arial" w:cs="Arial"/>
          <w:sz w:val="18"/>
          <w:szCs w:val="18"/>
        </w:rPr>
        <w:t>, but an agent does not record the sale until August 5</w:t>
      </w:r>
      <w:r w:rsidRPr="003F1A08">
        <w:rPr>
          <w:rFonts w:ascii="Arial" w:hAnsi="Arial" w:cs="Arial"/>
          <w:sz w:val="18"/>
          <w:szCs w:val="18"/>
          <w:vertAlign w:val="superscript"/>
        </w:rPr>
        <w:t>th</w:t>
      </w:r>
      <w:r w:rsidRPr="003F1A08">
        <w:rPr>
          <w:rFonts w:ascii="Arial" w:hAnsi="Arial" w:cs="Arial"/>
          <w:sz w:val="18"/>
          <w:szCs w:val="18"/>
        </w:rPr>
        <w:t xml:space="preserve">, that sale would not be included in the July sales figures (or any subsequent month’s total) but would be added to the quarterly and annual total sales figures. </w:t>
      </w:r>
    </w:p>
    <w:p w14:paraId="1F33316C" w14:textId="3B6B80E0" w:rsidR="00E559AE" w:rsidRPr="003F1A08" w:rsidRDefault="00E559AE" w:rsidP="00E559AE">
      <w:pPr>
        <w:spacing w:before="120" w:after="120" w:line="300" w:lineRule="auto"/>
        <w:ind w:left="-360" w:right="-360"/>
        <w:contextualSpacing/>
        <w:jc w:val="both"/>
        <w:rPr>
          <w:rFonts w:ascii="Arial" w:hAnsi="Arial" w:cs="Arial"/>
          <w:sz w:val="18"/>
          <w:szCs w:val="18"/>
        </w:rPr>
      </w:pPr>
    </w:p>
    <w:p w14:paraId="09FBC07F" w14:textId="1F7841CB" w:rsidR="00E559AE" w:rsidRPr="003F1A08" w:rsidRDefault="00E559AE" w:rsidP="00E559AE">
      <w:pPr>
        <w:spacing w:before="120" w:after="120" w:line="300" w:lineRule="auto"/>
        <w:ind w:left="-360" w:right="-360"/>
        <w:contextualSpacing/>
        <w:jc w:val="both"/>
        <w:rPr>
          <w:rFonts w:ascii="Arial" w:hAnsi="Arial" w:cs="Arial"/>
          <w:sz w:val="18"/>
          <w:szCs w:val="18"/>
        </w:rPr>
      </w:pPr>
      <w:r w:rsidRPr="003F1A08">
        <w:rPr>
          <w:rFonts w:ascii="Arial" w:hAnsi="Arial" w:cs="Arial"/>
          <w:sz w:val="18"/>
          <w:szCs w:val="18"/>
        </w:rPr>
        <w:t>** All references to the “metropolitan” area denotes the 4 counties of Milwaukee, Waukesha, Ozaukee, and Washington Counties. The “region” or “Southeast Wisconsin” refers to the 4 metropolitan counties (Milwaukee, Waukesha, Ozaukee, and Washington), plus the 3 counties to the south, Racine, Kenosha, and Walworth Counties.</w:t>
      </w:r>
    </w:p>
    <w:p w14:paraId="1A148DD3" w14:textId="7E523D39" w:rsidR="00E559AE" w:rsidRDefault="00F71BBF" w:rsidP="00E559AE">
      <w:pPr>
        <w:spacing w:before="120" w:after="120" w:line="300" w:lineRule="auto"/>
        <w:ind w:left="-360" w:right="-360"/>
        <w:contextualSpacing/>
        <w:rPr>
          <w:rFonts w:ascii="Arial" w:hAnsi="Arial" w:cs="Arial"/>
          <w:sz w:val="18"/>
          <w:szCs w:val="18"/>
        </w:rPr>
      </w:pPr>
      <w:r w:rsidRPr="000C1709">
        <w:rPr>
          <w:noProof/>
          <w:shd w:val="clear" w:color="auto" w:fill="1F4E79" w:themeFill="accent1" w:themeFillShade="80"/>
        </w:rPr>
        <w:drawing>
          <wp:anchor distT="0" distB="0" distL="114300" distR="114300" simplePos="0" relativeHeight="251703296" behindDoc="0" locked="0" layoutInCell="1" allowOverlap="1" wp14:anchorId="3EA60575" wp14:editId="6D46101E">
            <wp:simplePos x="0" y="0"/>
            <wp:positionH relativeFrom="column">
              <wp:posOffset>66675</wp:posOffset>
            </wp:positionH>
            <wp:positionV relativeFrom="paragraph">
              <wp:posOffset>165735</wp:posOffset>
            </wp:positionV>
            <wp:extent cx="5943600" cy="3582955"/>
            <wp:effectExtent l="0" t="0" r="0" b="17780"/>
            <wp:wrapSquare wrapText="bothSides"/>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4000C23" w14:textId="77777777" w:rsidR="00F71BBF" w:rsidRPr="001D331B" w:rsidRDefault="00526C79" w:rsidP="00F71BBF">
      <w:pPr>
        <w:spacing w:before="120" w:after="240" w:line="300" w:lineRule="auto"/>
        <w:ind w:left="-360" w:right="-360"/>
        <w:rPr>
          <w:rFonts w:ascii="Arial" w:hAnsi="Arial" w:cs="Arial"/>
          <w:sz w:val="21"/>
          <w:szCs w:val="21"/>
        </w:rPr>
      </w:pPr>
      <w:r w:rsidRPr="001D331B">
        <w:rPr>
          <w:rFonts w:ascii="Arial" w:hAnsi="Arial" w:cs="Arial"/>
          <w:sz w:val="21"/>
          <w:szCs w:val="21"/>
        </w:rPr>
        <w:t>Seasonally adjusted inventory is calculated by taking the homes available for sale in each month and comparing them to the past 12 months’ average sales.  This tells us how many months it would take to sell the existing homes on the market. The seasonally adjusted inventory level for December was 1.9 months.</w:t>
      </w:r>
      <w:r w:rsidR="00F71BBF" w:rsidRPr="001D331B">
        <w:rPr>
          <w:rFonts w:ascii="Arial" w:hAnsi="Arial" w:cs="Arial"/>
          <w:sz w:val="21"/>
          <w:szCs w:val="21"/>
        </w:rPr>
        <w:t xml:space="preserve"> </w:t>
      </w:r>
    </w:p>
    <w:p w14:paraId="461F1D0B" w14:textId="77777777" w:rsidR="00F71BBF" w:rsidRPr="001D331B" w:rsidRDefault="00C10CD6" w:rsidP="00F71BBF">
      <w:pPr>
        <w:spacing w:before="120" w:after="240" w:line="300" w:lineRule="auto"/>
        <w:ind w:left="-360" w:right="-360"/>
        <w:rPr>
          <w:rFonts w:ascii="Arial" w:hAnsi="Arial" w:cs="Arial"/>
          <w:sz w:val="21"/>
          <w:szCs w:val="21"/>
        </w:rPr>
      </w:pPr>
      <w:r w:rsidRPr="001D331B">
        <w:rPr>
          <w:rFonts w:ascii="Arial" w:hAnsi="Arial" w:cs="Arial"/>
          <w:sz w:val="21"/>
          <w:szCs w:val="21"/>
        </w:rPr>
        <w:t>S</w:t>
      </w:r>
      <w:r w:rsidR="0080655E" w:rsidRPr="001D331B">
        <w:rPr>
          <w:rFonts w:ascii="Arial" w:hAnsi="Arial" w:cs="Arial"/>
          <w:sz w:val="21"/>
          <w:szCs w:val="21"/>
        </w:rPr>
        <w:t>ubtract</w:t>
      </w:r>
      <w:r w:rsidRPr="001D331B">
        <w:rPr>
          <w:rFonts w:ascii="Arial" w:hAnsi="Arial" w:cs="Arial"/>
          <w:sz w:val="21"/>
          <w:szCs w:val="21"/>
        </w:rPr>
        <w:t>ing</w:t>
      </w:r>
      <w:r w:rsidR="0080655E" w:rsidRPr="001D331B">
        <w:rPr>
          <w:rFonts w:ascii="Arial" w:hAnsi="Arial" w:cs="Arial"/>
          <w:sz w:val="21"/>
          <w:szCs w:val="21"/>
        </w:rPr>
        <w:t xml:space="preserve"> listings that have an “active offer” from those available for sale (a</w:t>
      </w:r>
      <w:r w:rsidR="00BB352F" w:rsidRPr="001D331B">
        <w:rPr>
          <w:rFonts w:ascii="Arial" w:hAnsi="Arial" w:cs="Arial"/>
          <w:sz w:val="21"/>
          <w:szCs w:val="21"/>
        </w:rPr>
        <w:t xml:space="preserve">bout </w:t>
      </w:r>
      <w:r w:rsidR="0080655E" w:rsidRPr="001D331B">
        <w:rPr>
          <w:rFonts w:ascii="Arial" w:hAnsi="Arial" w:cs="Arial"/>
          <w:sz w:val="21"/>
          <w:szCs w:val="21"/>
        </w:rPr>
        <w:t xml:space="preserve">80% of listings with an offer </w:t>
      </w:r>
      <w:r w:rsidR="00F67F9D" w:rsidRPr="001D331B">
        <w:rPr>
          <w:rFonts w:ascii="Arial" w:hAnsi="Arial" w:cs="Arial"/>
          <w:sz w:val="21"/>
          <w:szCs w:val="21"/>
        </w:rPr>
        <w:t xml:space="preserve">turn into a </w:t>
      </w:r>
      <w:r w:rsidR="0080655E" w:rsidRPr="001D331B">
        <w:rPr>
          <w:rFonts w:ascii="Arial" w:hAnsi="Arial" w:cs="Arial"/>
          <w:sz w:val="21"/>
          <w:szCs w:val="21"/>
        </w:rPr>
        <w:t>sale)</w:t>
      </w:r>
      <w:r w:rsidR="00752249" w:rsidRPr="001D331B">
        <w:rPr>
          <w:rFonts w:ascii="Arial" w:hAnsi="Arial" w:cs="Arial"/>
          <w:sz w:val="21"/>
          <w:szCs w:val="21"/>
        </w:rPr>
        <w:t xml:space="preserve">, </w:t>
      </w:r>
      <w:r w:rsidR="00DD615F" w:rsidRPr="001D331B">
        <w:rPr>
          <w:rFonts w:ascii="Arial" w:hAnsi="Arial" w:cs="Arial"/>
          <w:sz w:val="21"/>
          <w:szCs w:val="21"/>
        </w:rPr>
        <w:t xml:space="preserve">offers </w:t>
      </w:r>
      <w:r w:rsidR="0080655E" w:rsidRPr="001D331B">
        <w:rPr>
          <w:rFonts w:ascii="Arial" w:hAnsi="Arial" w:cs="Arial"/>
          <w:sz w:val="21"/>
          <w:szCs w:val="21"/>
        </w:rPr>
        <w:t xml:space="preserve">a different perspective of the quantity of homes available </w:t>
      </w:r>
      <w:r w:rsidR="00BB352F" w:rsidRPr="001D331B">
        <w:rPr>
          <w:rFonts w:ascii="Arial" w:hAnsi="Arial" w:cs="Arial"/>
          <w:sz w:val="21"/>
          <w:szCs w:val="21"/>
        </w:rPr>
        <w:t>for sale</w:t>
      </w:r>
      <w:r w:rsidR="0080655E" w:rsidRPr="001D331B">
        <w:rPr>
          <w:rFonts w:ascii="Arial" w:hAnsi="Arial" w:cs="Arial"/>
          <w:sz w:val="21"/>
          <w:szCs w:val="21"/>
        </w:rPr>
        <w:t>.</w:t>
      </w:r>
      <w:r w:rsidR="00BB352F" w:rsidRPr="001D331B">
        <w:rPr>
          <w:rFonts w:ascii="Arial" w:hAnsi="Arial" w:cs="Arial"/>
          <w:sz w:val="21"/>
          <w:szCs w:val="21"/>
        </w:rPr>
        <w:t xml:space="preserve"> </w:t>
      </w:r>
      <w:r w:rsidR="0080655E" w:rsidRPr="001D331B">
        <w:rPr>
          <w:rFonts w:ascii="Arial" w:hAnsi="Arial" w:cs="Arial"/>
          <w:sz w:val="21"/>
          <w:szCs w:val="21"/>
        </w:rPr>
        <w:t>Subtract</w:t>
      </w:r>
      <w:r w:rsidR="00435320" w:rsidRPr="001D331B">
        <w:rPr>
          <w:rFonts w:ascii="Arial" w:hAnsi="Arial" w:cs="Arial"/>
          <w:sz w:val="21"/>
          <w:szCs w:val="21"/>
        </w:rPr>
        <w:t>ing</w:t>
      </w:r>
      <w:r w:rsidR="0080655E" w:rsidRPr="001D331B">
        <w:rPr>
          <w:rFonts w:ascii="Arial" w:hAnsi="Arial" w:cs="Arial"/>
          <w:sz w:val="21"/>
          <w:szCs w:val="21"/>
        </w:rPr>
        <w:t xml:space="preserve"> </w:t>
      </w:r>
      <w:r w:rsidR="00435320" w:rsidRPr="001D331B">
        <w:rPr>
          <w:rFonts w:ascii="Arial" w:hAnsi="Arial" w:cs="Arial"/>
          <w:sz w:val="21"/>
          <w:szCs w:val="21"/>
        </w:rPr>
        <w:t xml:space="preserve">listings with an active offer from </w:t>
      </w:r>
      <w:r w:rsidR="00BB352F" w:rsidRPr="001D331B">
        <w:rPr>
          <w:rFonts w:ascii="Arial" w:hAnsi="Arial" w:cs="Arial"/>
          <w:sz w:val="21"/>
          <w:szCs w:val="21"/>
        </w:rPr>
        <w:t xml:space="preserve">total </w:t>
      </w:r>
      <w:r w:rsidR="00435320" w:rsidRPr="001D331B">
        <w:rPr>
          <w:rFonts w:ascii="Arial" w:hAnsi="Arial" w:cs="Arial"/>
          <w:sz w:val="21"/>
          <w:szCs w:val="21"/>
        </w:rPr>
        <w:t xml:space="preserve">listings, yields </w:t>
      </w:r>
      <w:r w:rsidR="00435320" w:rsidRPr="001D331B">
        <w:rPr>
          <w:rFonts w:ascii="Arial" w:hAnsi="Arial" w:cs="Arial"/>
          <w:b/>
          <w:bCs/>
          <w:sz w:val="21"/>
          <w:szCs w:val="21"/>
        </w:rPr>
        <w:t xml:space="preserve">a remarkably low </w:t>
      </w:r>
      <w:r w:rsidR="00526C79" w:rsidRPr="001D331B">
        <w:rPr>
          <w:rFonts w:ascii="Arial" w:hAnsi="Arial" w:cs="Arial"/>
          <w:b/>
          <w:bCs/>
          <w:sz w:val="21"/>
          <w:szCs w:val="21"/>
        </w:rPr>
        <w:t>1</w:t>
      </w:r>
      <w:r w:rsidR="000927A7" w:rsidRPr="001D331B">
        <w:rPr>
          <w:rFonts w:ascii="Arial" w:hAnsi="Arial" w:cs="Arial"/>
          <w:b/>
          <w:bCs/>
          <w:sz w:val="21"/>
          <w:szCs w:val="21"/>
        </w:rPr>
        <w:t>,</w:t>
      </w:r>
      <w:r w:rsidR="00526C79" w:rsidRPr="001D331B">
        <w:rPr>
          <w:rFonts w:ascii="Arial" w:hAnsi="Arial" w:cs="Arial"/>
          <w:b/>
          <w:bCs/>
          <w:sz w:val="21"/>
          <w:szCs w:val="21"/>
        </w:rPr>
        <w:t>263</w:t>
      </w:r>
      <w:r w:rsidR="00435320" w:rsidRPr="001D331B">
        <w:rPr>
          <w:rFonts w:ascii="Arial" w:hAnsi="Arial" w:cs="Arial"/>
          <w:b/>
          <w:bCs/>
          <w:sz w:val="21"/>
          <w:szCs w:val="21"/>
        </w:rPr>
        <w:t xml:space="preserve"> </w:t>
      </w:r>
      <w:r w:rsidR="0080655E" w:rsidRPr="001D331B">
        <w:rPr>
          <w:rFonts w:ascii="Arial" w:hAnsi="Arial" w:cs="Arial"/>
          <w:b/>
          <w:bCs/>
          <w:sz w:val="21"/>
          <w:szCs w:val="21"/>
        </w:rPr>
        <w:t>listings</w:t>
      </w:r>
      <w:r w:rsidR="00435320" w:rsidRPr="001D331B">
        <w:rPr>
          <w:rFonts w:ascii="Arial" w:hAnsi="Arial" w:cs="Arial"/>
          <w:b/>
          <w:bCs/>
          <w:sz w:val="21"/>
          <w:szCs w:val="21"/>
        </w:rPr>
        <w:t xml:space="preserve">, which equals </w:t>
      </w:r>
      <w:r w:rsidR="00526C79" w:rsidRPr="001D331B">
        <w:rPr>
          <w:rFonts w:ascii="Arial" w:hAnsi="Arial" w:cs="Arial"/>
          <w:b/>
          <w:bCs/>
          <w:sz w:val="21"/>
          <w:szCs w:val="21"/>
        </w:rPr>
        <w:t>0</w:t>
      </w:r>
      <w:r w:rsidR="00D31E52" w:rsidRPr="001D331B">
        <w:rPr>
          <w:rFonts w:ascii="Arial" w:hAnsi="Arial" w:cs="Arial"/>
          <w:b/>
          <w:bCs/>
          <w:sz w:val="21"/>
          <w:szCs w:val="21"/>
        </w:rPr>
        <w:t>.</w:t>
      </w:r>
      <w:r w:rsidR="00526C79" w:rsidRPr="001D331B">
        <w:rPr>
          <w:rFonts w:ascii="Arial" w:hAnsi="Arial" w:cs="Arial"/>
          <w:b/>
          <w:bCs/>
          <w:sz w:val="21"/>
          <w:szCs w:val="21"/>
        </w:rPr>
        <w:t>7</w:t>
      </w:r>
      <w:r w:rsidR="00435320" w:rsidRPr="001D331B">
        <w:rPr>
          <w:rFonts w:ascii="Arial" w:hAnsi="Arial" w:cs="Arial"/>
          <w:b/>
          <w:bCs/>
          <w:sz w:val="21"/>
          <w:szCs w:val="21"/>
        </w:rPr>
        <w:t xml:space="preserve"> months of inventory</w:t>
      </w:r>
      <w:r w:rsidR="0080655E" w:rsidRPr="001D331B">
        <w:rPr>
          <w:rFonts w:ascii="Arial" w:hAnsi="Arial" w:cs="Arial"/>
          <w:sz w:val="21"/>
          <w:szCs w:val="21"/>
        </w:rPr>
        <w:t>.</w:t>
      </w:r>
      <w:r w:rsidR="00F71BBF" w:rsidRPr="001D331B">
        <w:rPr>
          <w:rFonts w:ascii="Arial" w:hAnsi="Arial" w:cs="Arial"/>
          <w:sz w:val="21"/>
          <w:szCs w:val="21"/>
        </w:rPr>
        <w:t xml:space="preserve"> </w:t>
      </w:r>
    </w:p>
    <w:p w14:paraId="555EC20D" w14:textId="0AE9CB0B" w:rsidR="00526C79" w:rsidRPr="001D331B" w:rsidRDefault="0080655E" w:rsidP="00F71BBF">
      <w:pPr>
        <w:spacing w:before="120" w:after="240" w:line="300" w:lineRule="auto"/>
        <w:ind w:left="-360" w:right="-360"/>
        <w:rPr>
          <w:rFonts w:ascii="Arial" w:hAnsi="Arial" w:cs="Arial"/>
          <w:sz w:val="21"/>
          <w:szCs w:val="21"/>
        </w:rPr>
      </w:pPr>
      <w:r w:rsidRPr="001D331B">
        <w:rPr>
          <w:rFonts w:ascii="Arial" w:hAnsi="Arial" w:cs="Arial"/>
          <w:sz w:val="21"/>
          <w:szCs w:val="21"/>
        </w:rPr>
        <w:lastRenderedPageBreak/>
        <w:t xml:space="preserve">If the region does not create </w:t>
      </w:r>
      <w:r w:rsidR="00270753" w:rsidRPr="001D331B">
        <w:rPr>
          <w:rFonts w:ascii="Arial" w:hAnsi="Arial" w:cs="Arial"/>
          <w:sz w:val="21"/>
          <w:szCs w:val="21"/>
        </w:rPr>
        <w:t>additional</w:t>
      </w:r>
      <w:r w:rsidRPr="001D331B">
        <w:rPr>
          <w:rFonts w:ascii="Arial" w:hAnsi="Arial" w:cs="Arial"/>
          <w:sz w:val="21"/>
          <w:szCs w:val="21"/>
        </w:rPr>
        <w:t xml:space="preserve"> supply in the form of more single-family and condo units, thousands of would-be homeowners will be forced </w:t>
      </w:r>
      <w:r w:rsidR="00F67F9D" w:rsidRPr="001D331B">
        <w:rPr>
          <w:rFonts w:ascii="Arial" w:hAnsi="Arial" w:cs="Arial"/>
          <w:sz w:val="21"/>
          <w:szCs w:val="21"/>
        </w:rPr>
        <w:t xml:space="preserve">into rental units, foregoing the opportunity to build wealth through a home’s equity and all of the other benefits of homeownership. </w:t>
      </w:r>
    </w:p>
    <w:p w14:paraId="496AF8E2" w14:textId="78FB2246" w:rsidR="0080655E" w:rsidRDefault="00526C79" w:rsidP="00526C79">
      <w:pPr>
        <w:spacing w:before="120" w:after="120" w:line="300" w:lineRule="auto"/>
        <w:ind w:left="-360" w:right="-360"/>
        <w:contextualSpacing/>
        <w:jc w:val="center"/>
        <w:rPr>
          <w:noProof/>
          <w:sz w:val="20"/>
          <w:szCs w:val="20"/>
          <w:shd w:val="clear" w:color="auto" w:fill="002060"/>
        </w:rPr>
      </w:pPr>
      <w:r>
        <w:rPr>
          <w:noProof/>
        </w:rPr>
        <w:drawing>
          <wp:inline distT="0" distB="0" distL="0" distR="0" wp14:anchorId="27E8287F" wp14:editId="5BCE0FEC">
            <wp:extent cx="5753100" cy="3438525"/>
            <wp:effectExtent l="0" t="0" r="0" b="0"/>
            <wp:docPr id="1" name="Chart 1">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5DA350" w14:textId="5D8EC944" w:rsidR="00DD615F" w:rsidRPr="001D331B" w:rsidRDefault="00F67F9D" w:rsidP="00C10CD6">
      <w:pPr>
        <w:spacing w:before="120" w:after="120" w:line="300" w:lineRule="auto"/>
        <w:ind w:left="-360" w:right="-360"/>
        <w:contextualSpacing/>
        <w:rPr>
          <w:rFonts w:ascii="Arial" w:hAnsi="Arial" w:cs="Arial"/>
          <w:sz w:val="21"/>
          <w:szCs w:val="21"/>
        </w:rPr>
      </w:pPr>
      <w:r w:rsidRPr="001D331B">
        <w:rPr>
          <w:rFonts w:ascii="Arial" w:hAnsi="Arial" w:cs="Arial"/>
          <w:sz w:val="21"/>
          <w:szCs w:val="21"/>
        </w:rPr>
        <w:t>Generally, six months of inventory is considered a “balanced” market. If inventory falls below six months, the market favors sellers, and when inventory exceeds six months, it is a buyer’s market</w:t>
      </w:r>
      <w:r w:rsidR="00EC22D0" w:rsidRPr="001D331B">
        <w:rPr>
          <w:rFonts w:ascii="Arial" w:hAnsi="Arial" w:cs="Arial"/>
          <w:sz w:val="21"/>
          <w:szCs w:val="21"/>
        </w:rPr>
        <w:t>.</w:t>
      </w:r>
      <w:r w:rsidR="00C10CD6" w:rsidRPr="001D331B">
        <w:rPr>
          <w:rFonts w:ascii="Arial" w:hAnsi="Arial" w:cs="Arial"/>
          <w:sz w:val="21"/>
          <w:szCs w:val="21"/>
        </w:rPr>
        <w:t xml:space="preserve"> W</w:t>
      </w:r>
      <w:r w:rsidR="00EC22D0" w:rsidRPr="001D331B">
        <w:rPr>
          <w:rFonts w:ascii="Arial" w:hAnsi="Arial" w:cs="Arial"/>
          <w:sz w:val="21"/>
          <w:szCs w:val="21"/>
        </w:rPr>
        <w:t xml:space="preserve">ith </w:t>
      </w:r>
      <w:r w:rsidR="00256F5E" w:rsidRPr="001D331B">
        <w:rPr>
          <w:rFonts w:ascii="Arial" w:hAnsi="Arial" w:cs="Arial"/>
          <w:sz w:val="21"/>
          <w:szCs w:val="21"/>
        </w:rPr>
        <w:t>3</w:t>
      </w:r>
      <w:r w:rsidR="00EC22D0" w:rsidRPr="001D331B">
        <w:rPr>
          <w:rFonts w:ascii="Arial" w:hAnsi="Arial" w:cs="Arial"/>
          <w:sz w:val="21"/>
          <w:szCs w:val="21"/>
        </w:rPr>
        <w:t>,</w:t>
      </w:r>
      <w:r w:rsidR="00256F5E" w:rsidRPr="001D331B">
        <w:rPr>
          <w:rFonts w:ascii="Arial" w:hAnsi="Arial" w:cs="Arial"/>
          <w:sz w:val="21"/>
          <w:szCs w:val="21"/>
        </w:rPr>
        <w:t>597</w:t>
      </w:r>
      <w:r w:rsidR="00EC22D0" w:rsidRPr="001D331B">
        <w:rPr>
          <w:rFonts w:ascii="Arial" w:hAnsi="Arial" w:cs="Arial"/>
          <w:sz w:val="21"/>
          <w:szCs w:val="21"/>
        </w:rPr>
        <w:t xml:space="preserve"> current listings providing </w:t>
      </w:r>
      <w:r w:rsidR="00256F5E" w:rsidRPr="001D331B">
        <w:rPr>
          <w:rFonts w:ascii="Arial" w:hAnsi="Arial" w:cs="Arial"/>
          <w:sz w:val="21"/>
          <w:szCs w:val="21"/>
        </w:rPr>
        <w:t>1</w:t>
      </w:r>
      <w:r w:rsidR="00EC22D0" w:rsidRPr="001D331B">
        <w:rPr>
          <w:rFonts w:ascii="Arial" w:hAnsi="Arial" w:cs="Arial"/>
          <w:sz w:val="21"/>
          <w:szCs w:val="21"/>
        </w:rPr>
        <w:t>.</w:t>
      </w:r>
      <w:r w:rsidR="00256F5E" w:rsidRPr="001D331B">
        <w:rPr>
          <w:rFonts w:ascii="Arial" w:hAnsi="Arial" w:cs="Arial"/>
          <w:sz w:val="21"/>
          <w:szCs w:val="21"/>
        </w:rPr>
        <w:t>9</w:t>
      </w:r>
      <w:r w:rsidR="00EC22D0" w:rsidRPr="001D331B">
        <w:rPr>
          <w:rFonts w:ascii="Arial" w:hAnsi="Arial" w:cs="Arial"/>
          <w:sz w:val="21"/>
          <w:szCs w:val="21"/>
        </w:rPr>
        <w:t xml:space="preserve"> months of inventory, the market would need an additional </w:t>
      </w:r>
      <w:r w:rsidR="00256F5E" w:rsidRPr="001D331B">
        <w:rPr>
          <w:rFonts w:ascii="Arial" w:hAnsi="Arial" w:cs="Arial"/>
          <w:sz w:val="21"/>
          <w:szCs w:val="21"/>
        </w:rPr>
        <w:t>7</w:t>
      </w:r>
      <w:r w:rsidR="00EC22D0" w:rsidRPr="001D331B">
        <w:rPr>
          <w:rFonts w:ascii="Arial" w:hAnsi="Arial" w:cs="Arial"/>
          <w:sz w:val="21"/>
          <w:szCs w:val="21"/>
        </w:rPr>
        <w:t>,</w:t>
      </w:r>
      <w:r w:rsidR="00256F5E" w:rsidRPr="001D331B">
        <w:rPr>
          <w:rFonts w:ascii="Arial" w:hAnsi="Arial" w:cs="Arial"/>
          <w:sz w:val="21"/>
          <w:szCs w:val="21"/>
        </w:rPr>
        <w:t>983</w:t>
      </w:r>
      <w:r w:rsidR="00EC22D0" w:rsidRPr="001D331B">
        <w:rPr>
          <w:rFonts w:ascii="Arial" w:hAnsi="Arial" w:cs="Arial"/>
          <w:sz w:val="21"/>
          <w:szCs w:val="21"/>
        </w:rPr>
        <w:t xml:space="preserve"> units</w:t>
      </w:r>
      <w:r w:rsidR="00AB0545" w:rsidRPr="001D331B">
        <w:rPr>
          <w:rFonts w:ascii="Arial" w:hAnsi="Arial" w:cs="Arial"/>
          <w:sz w:val="21"/>
          <w:szCs w:val="21"/>
        </w:rPr>
        <w:t xml:space="preserve"> </w:t>
      </w:r>
      <w:r w:rsidR="00EC22D0" w:rsidRPr="001D331B">
        <w:rPr>
          <w:rFonts w:ascii="Arial" w:hAnsi="Arial" w:cs="Arial"/>
          <w:sz w:val="21"/>
          <w:szCs w:val="21"/>
        </w:rPr>
        <w:t>to push inventory to 6 months.</w:t>
      </w:r>
      <w:r w:rsidR="00AB0545" w:rsidRPr="001D331B">
        <w:rPr>
          <w:rFonts w:ascii="Arial" w:hAnsi="Arial" w:cs="Arial"/>
          <w:sz w:val="21"/>
          <w:szCs w:val="21"/>
        </w:rPr>
        <w:t xml:space="preserve"> </w:t>
      </w:r>
      <w:bookmarkEnd w:id="0"/>
    </w:p>
    <w:p w14:paraId="60CE3F68" w14:textId="77777777" w:rsidR="00FD6F12" w:rsidRDefault="00DD615F" w:rsidP="00FA1C63">
      <w:pPr>
        <w:spacing w:after="160" w:line="259" w:lineRule="auto"/>
        <w:jc w:val="center"/>
        <w:rPr>
          <w:noProof/>
        </w:rPr>
      </w:pPr>
      <w:r>
        <w:rPr>
          <w:rFonts w:ascii="Arial" w:hAnsi="Arial" w:cs="Arial"/>
          <w:sz w:val="20"/>
          <w:szCs w:val="20"/>
        </w:rPr>
        <w:br w:type="page"/>
      </w:r>
    </w:p>
    <w:p w14:paraId="10A1F6D8" w14:textId="77777777" w:rsidR="00F71BBF" w:rsidRDefault="00F71BBF" w:rsidP="00FA1C63">
      <w:pPr>
        <w:spacing w:after="160" w:line="259" w:lineRule="auto"/>
        <w:jc w:val="center"/>
        <w:rPr>
          <w:rFonts w:ascii="Arial" w:hAnsi="Arial" w:cs="Arial"/>
          <w:sz w:val="20"/>
          <w:szCs w:val="20"/>
        </w:rPr>
      </w:pPr>
    </w:p>
    <w:p w14:paraId="25F0F09E" w14:textId="77777777" w:rsidR="00BA7AF1" w:rsidRDefault="00BA7AF1" w:rsidP="00FA1C63">
      <w:pPr>
        <w:spacing w:after="160" w:line="259" w:lineRule="auto"/>
        <w:jc w:val="center"/>
        <w:rPr>
          <w:rFonts w:ascii="Arial" w:hAnsi="Arial" w:cs="Arial"/>
          <w:sz w:val="20"/>
          <w:szCs w:val="20"/>
        </w:rPr>
      </w:pPr>
    </w:p>
    <w:p w14:paraId="75FB17D9" w14:textId="274B9C7D" w:rsidR="00FD6F12" w:rsidRDefault="00FA1C63" w:rsidP="00FA1C63">
      <w:pPr>
        <w:spacing w:after="160" w:line="259" w:lineRule="auto"/>
        <w:jc w:val="center"/>
        <w:rPr>
          <w:rFonts w:ascii="Arial" w:hAnsi="Arial" w:cs="Arial"/>
          <w:sz w:val="20"/>
          <w:szCs w:val="20"/>
        </w:rPr>
      </w:pPr>
      <w:r w:rsidRPr="00FA1C63">
        <w:rPr>
          <w:noProof/>
          <w:shd w:val="clear" w:color="auto" w:fill="1F4E79" w:themeFill="accent1" w:themeFillShade="80"/>
        </w:rPr>
        <w:drawing>
          <wp:inline distT="0" distB="0" distL="0" distR="0" wp14:anchorId="169148B1" wp14:editId="00C7A7E6">
            <wp:extent cx="5669280" cy="3200400"/>
            <wp:effectExtent l="0" t="0" r="7620" b="0"/>
            <wp:docPr id="5" name="Chart 5">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BF3F01" w14:textId="77777777" w:rsidR="00BA7AF1" w:rsidRDefault="00BA7AF1" w:rsidP="00FA1C63">
      <w:pPr>
        <w:spacing w:after="160" w:line="259" w:lineRule="auto"/>
        <w:jc w:val="center"/>
        <w:rPr>
          <w:rFonts w:ascii="Arial" w:hAnsi="Arial" w:cs="Arial"/>
          <w:sz w:val="20"/>
          <w:szCs w:val="20"/>
        </w:rPr>
      </w:pPr>
    </w:p>
    <w:p w14:paraId="5A6ABFB8" w14:textId="77777777" w:rsidR="00F71BBF" w:rsidRDefault="00F71BBF" w:rsidP="00FA1C63">
      <w:pPr>
        <w:spacing w:after="160" w:line="259" w:lineRule="auto"/>
        <w:jc w:val="center"/>
        <w:rPr>
          <w:rFonts w:ascii="Arial" w:hAnsi="Arial" w:cs="Arial"/>
          <w:sz w:val="20"/>
          <w:szCs w:val="20"/>
        </w:rPr>
      </w:pPr>
    </w:p>
    <w:p w14:paraId="5F5B5030" w14:textId="3CCED193" w:rsidR="00DD615F" w:rsidRDefault="00FD6F12" w:rsidP="00FA1C63">
      <w:pPr>
        <w:spacing w:after="160" w:line="259" w:lineRule="auto"/>
        <w:jc w:val="center"/>
        <w:rPr>
          <w:rFonts w:ascii="Arial" w:hAnsi="Arial" w:cs="Arial"/>
          <w:sz w:val="20"/>
          <w:szCs w:val="20"/>
        </w:rPr>
      </w:pPr>
      <w:r>
        <w:rPr>
          <w:noProof/>
        </w:rPr>
        <w:drawing>
          <wp:inline distT="0" distB="0" distL="0" distR="0" wp14:anchorId="654AC40D" wp14:editId="09A9F7DE">
            <wp:extent cx="5669280" cy="3200400"/>
            <wp:effectExtent l="0" t="0" r="7620" b="0"/>
            <wp:docPr id="25" name="Chart 25">
              <a:extLst xmlns:a="http://schemas.openxmlformats.org/drawingml/2006/main">
                <a:ext uri="{FF2B5EF4-FFF2-40B4-BE49-F238E27FC236}">
                  <a16:creationId xmlns:a16="http://schemas.microsoft.com/office/drawing/2014/main" id="{66F96577-B460-4F20-B719-714CC5F700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D615F">
        <w:rPr>
          <w:rFonts w:ascii="Arial" w:hAnsi="Arial" w:cs="Arial"/>
          <w:sz w:val="20"/>
          <w:szCs w:val="20"/>
        </w:rPr>
        <w:br w:type="page"/>
      </w:r>
    </w:p>
    <w:p w14:paraId="3A4395CA" w14:textId="77777777" w:rsidR="00BA7AF1" w:rsidRDefault="00BA7AF1" w:rsidP="00BB4AB9">
      <w:pPr>
        <w:spacing w:after="160" w:line="259" w:lineRule="auto"/>
        <w:jc w:val="center"/>
        <w:rPr>
          <w:rFonts w:ascii="Arial" w:hAnsi="Arial" w:cs="Arial"/>
          <w:sz w:val="20"/>
          <w:szCs w:val="20"/>
        </w:rPr>
      </w:pPr>
    </w:p>
    <w:p w14:paraId="2D56D44E" w14:textId="77777777" w:rsidR="00BA7AF1" w:rsidRDefault="00BA7AF1" w:rsidP="00BB4AB9">
      <w:pPr>
        <w:spacing w:after="160" w:line="259" w:lineRule="auto"/>
        <w:jc w:val="center"/>
        <w:rPr>
          <w:rFonts w:ascii="Arial" w:hAnsi="Arial" w:cs="Arial"/>
          <w:sz w:val="20"/>
          <w:szCs w:val="20"/>
        </w:rPr>
      </w:pPr>
    </w:p>
    <w:p w14:paraId="419C7934" w14:textId="78B16E23" w:rsidR="00641D2E" w:rsidRDefault="009B5407" w:rsidP="00BB4AB9">
      <w:pPr>
        <w:spacing w:after="160" w:line="259" w:lineRule="auto"/>
        <w:jc w:val="center"/>
        <w:rPr>
          <w:rFonts w:ascii="Arial" w:hAnsi="Arial" w:cs="Arial"/>
          <w:sz w:val="20"/>
          <w:szCs w:val="20"/>
        </w:rPr>
      </w:pPr>
      <w:r>
        <w:rPr>
          <w:noProof/>
        </w:rPr>
        <w:drawing>
          <wp:inline distT="0" distB="0" distL="0" distR="0" wp14:anchorId="750BC63B" wp14:editId="31CBCA53">
            <wp:extent cx="5669280" cy="3200400"/>
            <wp:effectExtent l="0" t="0" r="7620" b="0"/>
            <wp:docPr id="6" name="Chart 6">
              <a:extLst xmlns:a="http://schemas.openxmlformats.org/drawingml/2006/main">
                <a:ext uri="{FF2B5EF4-FFF2-40B4-BE49-F238E27FC236}">
                  <a16:creationId xmlns:a16="http://schemas.microsoft.com/office/drawing/2014/main" id="{98815FD6-83CC-488E-B25C-C24293664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332B79" w14:textId="77777777" w:rsidR="00BA7AF1" w:rsidRDefault="00BA7AF1" w:rsidP="00BB4AB9">
      <w:pPr>
        <w:spacing w:after="160" w:line="259" w:lineRule="auto"/>
        <w:jc w:val="center"/>
        <w:rPr>
          <w:rFonts w:ascii="Arial" w:hAnsi="Arial" w:cs="Arial"/>
          <w:sz w:val="20"/>
          <w:szCs w:val="20"/>
        </w:rPr>
      </w:pPr>
    </w:p>
    <w:p w14:paraId="520B0E49" w14:textId="77777777" w:rsidR="00641D2E" w:rsidRDefault="00641D2E" w:rsidP="00BB4AB9">
      <w:pPr>
        <w:spacing w:after="160" w:line="259" w:lineRule="auto"/>
        <w:jc w:val="center"/>
        <w:rPr>
          <w:rFonts w:ascii="Arial" w:hAnsi="Arial" w:cs="Arial"/>
          <w:sz w:val="20"/>
          <w:szCs w:val="20"/>
        </w:rPr>
      </w:pPr>
    </w:p>
    <w:p w14:paraId="372C7E37" w14:textId="75F8E333" w:rsidR="00543D2E" w:rsidRDefault="00641D2E" w:rsidP="00543D2E">
      <w:pPr>
        <w:spacing w:after="160" w:line="259" w:lineRule="auto"/>
        <w:jc w:val="center"/>
        <w:rPr>
          <w:rFonts w:ascii="Arial" w:hAnsi="Arial" w:cs="Arial"/>
          <w:sz w:val="20"/>
          <w:szCs w:val="20"/>
        </w:rPr>
      </w:pPr>
      <w:r>
        <w:rPr>
          <w:noProof/>
        </w:rPr>
        <w:drawing>
          <wp:inline distT="0" distB="0" distL="0" distR="0" wp14:anchorId="74CF9ABC" wp14:editId="5FD9ECC1">
            <wp:extent cx="5669280" cy="3200400"/>
            <wp:effectExtent l="0" t="0" r="7620" b="0"/>
            <wp:docPr id="8" name="Chart 8">
              <a:extLst xmlns:a="http://schemas.openxmlformats.org/drawingml/2006/main">
                <a:ext uri="{FF2B5EF4-FFF2-40B4-BE49-F238E27FC236}">
                  <a16:creationId xmlns:a16="http://schemas.microsoft.com/office/drawing/2014/main" id="{D6E2D2AB-EC18-41B9-B6F3-F449A1AB3C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310626" w14:textId="77777777" w:rsidR="00543D2E" w:rsidRDefault="00543D2E">
      <w:pPr>
        <w:spacing w:after="160" w:line="259" w:lineRule="auto"/>
        <w:rPr>
          <w:rFonts w:ascii="Arial" w:hAnsi="Arial" w:cs="Arial"/>
          <w:sz w:val="20"/>
          <w:szCs w:val="20"/>
        </w:rPr>
      </w:pPr>
      <w:r>
        <w:rPr>
          <w:rFonts w:ascii="Arial" w:hAnsi="Arial" w:cs="Arial"/>
          <w:sz w:val="20"/>
          <w:szCs w:val="20"/>
        </w:rPr>
        <w:br w:type="page"/>
      </w:r>
    </w:p>
    <w:p w14:paraId="7039D6F8" w14:textId="341F9629" w:rsidR="0055147B" w:rsidRDefault="00543D2E" w:rsidP="00543D2E">
      <w:pPr>
        <w:spacing w:after="160" w:line="259" w:lineRule="auto"/>
        <w:jc w:val="center"/>
        <w:rPr>
          <w:noProof/>
        </w:rPr>
      </w:pPr>
      <w:r>
        <w:rPr>
          <w:noProof/>
        </w:rPr>
        <w:lastRenderedPageBreak/>
        <w:drawing>
          <wp:inline distT="0" distB="0" distL="0" distR="0" wp14:anchorId="17F2A3BD" wp14:editId="315ED470">
            <wp:extent cx="27559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46E9CA44" wp14:editId="4A9586B6">
            <wp:extent cx="2755900" cy="2755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3F9C3002" w14:textId="45F77C69" w:rsidR="00543D2E" w:rsidRDefault="00543D2E" w:rsidP="00543D2E">
      <w:pPr>
        <w:spacing w:after="160" w:line="259" w:lineRule="auto"/>
        <w:jc w:val="center"/>
        <w:rPr>
          <w:noProof/>
        </w:rPr>
      </w:pPr>
      <w:r>
        <w:rPr>
          <w:noProof/>
        </w:rPr>
        <w:drawing>
          <wp:inline distT="0" distB="0" distL="0" distR="0" wp14:anchorId="72ECD25D" wp14:editId="09DE3BE0">
            <wp:extent cx="2755900" cy="27559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0D4AA5DD" wp14:editId="53696C87">
            <wp:extent cx="2755900" cy="27559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426CA97A" w14:textId="3B7B8846" w:rsidR="00543D2E" w:rsidRDefault="00543D2E" w:rsidP="00543D2E">
      <w:pPr>
        <w:spacing w:after="160" w:line="259" w:lineRule="auto"/>
        <w:jc w:val="center"/>
        <w:rPr>
          <w:noProof/>
        </w:rPr>
      </w:pPr>
      <w:r>
        <w:rPr>
          <w:noProof/>
        </w:rPr>
        <w:drawing>
          <wp:inline distT="0" distB="0" distL="0" distR="0" wp14:anchorId="7812A94C" wp14:editId="1926D9E6">
            <wp:extent cx="2755900" cy="27559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0D27A8CB" w14:textId="77777777" w:rsidR="00543D2E" w:rsidRDefault="00543D2E">
      <w:pPr>
        <w:spacing w:after="160" w:line="259" w:lineRule="auto"/>
        <w:rPr>
          <w:noProof/>
        </w:rPr>
      </w:pPr>
      <w:r>
        <w:rPr>
          <w:noProof/>
        </w:rPr>
        <w:br w:type="page"/>
      </w:r>
    </w:p>
    <w:p w14:paraId="26C700EF" w14:textId="149F38D3" w:rsidR="00543D2E" w:rsidRDefault="00543D2E" w:rsidP="00543D2E">
      <w:pPr>
        <w:spacing w:after="160" w:line="259" w:lineRule="auto"/>
        <w:jc w:val="center"/>
        <w:rPr>
          <w:noProof/>
        </w:rPr>
      </w:pPr>
      <w:r>
        <w:rPr>
          <w:noProof/>
        </w:rPr>
        <w:lastRenderedPageBreak/>
        <w:drawing>
          <wp:inline distT="0" distB="0" distL="0" distR="0" wp14:anchorId="5EA497A5" wp14:editId="7C4133A8">
            <wp:extent cx="2755900" cy="27559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050021BC" wp14:editId="50B2E1E7">
            <wp:extent cx="2755900" cy="27559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3B53B19F" w14:textId="5D9C1F3A" w:rsidR="00543D2E" w:rsidRDefault="00543D2E" w:rsidP="00543D2E">
      <w:pPr>
        <w:spacing w:after="160" w:line="259" w:lineRule="auto"/>
        <w:jc w:val="center"/>
        <w:rPr>
          <w:noProof/>
        </w:rPr>
      </w:pPr>
      <w:r>
        <w:rPr>
          <w:noProof/>
        </w:rPr>
        <w:drawing>
          <wp:inline distT="0" distB="0" distL="0" distR="0" wp14:anchorId="0620D434" wp14:editId="20ED3D0C">
            <wp:extent cx="2755900" cy="27559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24F18F9B" wp14:editId="75E4BD3B">
            <wp:extent cx="2755900" cy="27559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4966E2BD" w14:textId="77777777" w:rsidR="00543D2E" w:rsidRDefault="00543D2E">
      <w:pPr>
        <w:spacing w:after="160" w:line="259" w:lineRule="auto"/>
        <w:rPr>
          <w:noProof/>
        </w:rPr>
      </w:pPr>
      <w:r>
        <w:rPr>
          <w:noProof/>
        </w:rPr>
        <w:br w:type="page"/>
      </w:r>
    </w:p>
    <w:p w14:paraId="7C442714" w14:textId="76810442" w:rsidR="00543D2E" w:rsidRDefault="00543D2E" w:rsidP="00543D2E">
      <w:pPr>
        <w:spacing w:after="160" w:line="259" w:lineRule="auto"/>
        <w:jc w:val="center"/>
        <w:rPr>
          <w:noProof/>
        </w:rPr>
      </w:pPr>
      <w:r>
        <w:rPr>
          <w:noProof/>
        </w:rPr>
        <w:lastRenderedPageBreak/>
        <w:drawing>
          <wp:inline distT="0" distB="0" distL="0" distR="0" wp14:anchorId="2CC01EF1" wp14:editId="0B393E2B">
            <wp:extent cx="2755900" cy="27559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509DD95C" wp14:editId="6ADB53D8">
            <wp:extent cx="2755900" cy="27559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4E8D5E79" w14:textId="3D7E68C3" w:rsidR="00543D2E" w:rsidRDefault="00543D2E" w:rsidP="00543D2E">
      <w:pPr>
        <w:spacing w:after="160" w:line="259" w:lineRule="auto"/>
        <w:jc w:val="center"/>
        <w:rPr>
          <w:noProof/>
        </w:rPr>
      </w:pPr>
      <w:r>
        <w:rPr>
          <w:noProof/>
        </w:rPr>
        <w:drawing>
          <wp:inline distT="0" distB="0" distL="0" distR="0" wp14:anchorId="5261549E" wp14:editId="0BA777BA">
            <wp:extent cx="2755900" cy="275590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79F55599" wp14:editId="31C427DB">
            <wp:extent cx="2755900" cy="275590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3585E685" w14:textId="6377D9E8" w:rsidR="00543D2E" w:rsidRDefault="00543D2E" w:rsidP="00543D2E">
      <w:pPr>
        <w:spacing w:after="160" w:line="259" w:lineRule="auto"/>
        <w:jc w:val="center"/>
        <w:rPr>
          <w:noProof/>
        </w:rPr>
      </w:pPr>
      <w:r>
        <w:rPr>
          <w:noProof/>
        </w:rPr>
        <w:drawing>
          <wp:inline distT="0" distB="0" distL="0" distR="0" wp14:anchorId="6613ABD8" wp14:editId="4524C1AE">
            <wp:extent cx="2755900" cy="275590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07EF91B2" w14:textId="77777777" w:rsidR="00543D2E" w:rsidRDefault="00543D2E">
      <w:pPr>
        <w:spacing w:after="160" w:line="259" w:lineRule="auto"/>
        <w:rPr>
          <w:noProof/>
        </w:rPr>
      </w:pPr>
      <w:r>
        <w:rPr>
          <w:noProof/>
        </w:rPr>
        <w:br w:type="page"/>
      </w:r>
    </w:p>
    <w:p w14:paraId="431A4FE5" w14:textId="4F91DC4A" w:rsidR="00543D2E" w:rsidRDefault="002F413C" w:rsidP="00543D2E">
      <w:pPr>
        <w:spacing w:after="160" w:line="259" w:lineRule="auto"/>
        <w:jc w:val="center"/>
        <w:rPr>
          <w:noProof/>
        </w:rPr>
      </w:pPr>
      <w:r>
        <w:rPr>
          <w:noProof/>
        </w:rPr>
        <w:lastRenderedPageBreak/>
        <w:drawing>
          <wp:inline distT="0" distB="0" distL="0" distR="0" wp14:anchorId="3BD71AE9" wp14:editId="64705D2A">
            <wp:extent cx="2755900" cy="275590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2CB344FD" wp14:editId="3965371D">
            <wp:extent cx="2755900" cy="27559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29BCE5B7" w14:textId="12DF1613" w:rsidR="002F413C" w:rsidRDefault="002F413C" w:rsidP="00543D2E">
      <w:pPr>
        <w:spacing w:after="160" w:line="259" w:lineRule="auto"/>
        <w:jc w:val="center"/>
        <w:rPr>
          <w:noProof/>
        </w:rPr>
      </w:pPr>
      <w:r>
        <w:rPr>
          <w:noProof/>
        </w:rPr>
        <w:drawing>
          <wp:inline distT="0" distB="0" distL="0" distR="0" wp14:anchorId="061B1203" wp14:editId="05A2CCBD">
            <wp:extent cx="2755900" cy="275590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2FD9AF0A" wp14:editId="765391E1">
            <wp:extent cx="2755900" cy="275590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135E88BC" w14:textId="77777777" w:rsidR="002F413C" w:rsidRDefault="002F413C">
      <w:pPr>
        <w:spacing w:after="160" w:line="259" w:lineRule="auto"/>
        <w:rPr>
          <w:noProof/>
        </w:rPr>
      </w:pPr>
      <w:r>
        <w:rPr>
          <w:noProof/>
        </w:rPr>
        <w:br w:type="page"/>
      </w:r>
    </w:p>
    <w:p w14:paraId="2E4E74AE" w14:textId="15C1648A" w:rsidR="002F413C" w:rsidRDefault="002F413C" w:rsidP="00543D2E">
      <w:pPr>
        <w:spacing w:after="160" w:line="259" w:lineRule="auto"/>
        <w:jc w:val="center"/>
        <w:rPr>
          <w:noProof/>
        </w:rPr>
      </w:pPr>
      <w:r>
        <w:rPr>
          <w:noProof/>
        </w:rPr>
        <w:lastRenderedPageBreak/>
        <w:drawing>
          <wp:inline distT="0" distB="0" distL="0" distR="0" wp14:anchorId="6DCEC2E8" wp14:editId="00573B3D">
            <wp:extent cx="2755900" cy="27559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3C35B3E8" wp14:editId="62320F58">
            <wp:extent cx="2755900" cy="275590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373ABDB4" w14:textId="64506D6E" w:rsidR="002F413C" w:rsidRDefault="002F413C" w:rsidP="00543D2E">
      <w:pPr>
        <w:spacing w:after="160" w:line="259" w:lineRule="auto"/>
        <w:jc w:val="center"/>
        <w:rPr>
          <w:noProof/>
        </w:rPr>
      </w:pPr>
      <w:r>
        <w:rPr>
          <w:noProof/>
        </w:rPr>
        <w:drawing>
          <wp:inline distT="0" distB="0" distL="0" distR="0" wp14:anchorId="5AEA9529" wp14:editId="4777362B">
            <wp:extent cx="2755900" cy="27559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3DE79EFD" wp14:editId="2CD035A1">
            <wp:extent cx="2755900" cy="275590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7C8300A1" w14:textId="0F0E0EF3" w:rsidR="002F413C" w:rsidRDefault="002F413C" w:rsidP="00543D2E">
      <w:pPr>
        <w:spacing w:after="160" w:line="259" w:lineRule="auto"/>
        <w:jc w:val="center"/>
        <w:rPr>
          <w:noProof/>
        </w:rPr>
      </w:pPr>
      <w:r>
        <w:rPr>
          <w:noProof/>
        </w:rPr>
        <w:drawing>
          <wp:inline distT="0" distB="0" distL="0" distR="0" wp14:anchorId="6CFB62CE" wp14:editId="0AEC5C72">
            <wp:extent cx="2755900" cy="2755900"/>
            <wp:effectExtent l="0" t="0" r="635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29604450" w14:textId="77777777" w:rsidR="002F413C" w:rsidRDefault="002F413C">
      <w:pPr>
        <w:spacing w:after="160" w:line="259" w:lineRule="auto"/>
        <w:rPr>
          <w:noProof/>
        </w:rPr>
      </w:pPr>
      <w:r>
        <w:rPr>
          <w:noProof/>
        </w:rPr>
        <w:br w:type="page"/>
      </w:r>
    </w:p>
    <w:p w14:paraId="51CBB5E6" w14:textId="3120ABFF" w:rsidR="002F413C" w:rsidRDefault="002F413C" w:rsidP="00543D2E">
      <w:pPr>
        <w:spacing w:after="160" w:line="259" w:lineRule="auto"/>
        <w:jc w:val="center"/>
        <w:rPr>
          <w:noProof/>
        </w:rPr>
      </w:pPr>
      <w:r>
        <w:rPr>
          <w:noProof/>
        </w:rPr>
        <w:lastRenderedPageBreak/>
        <w:drawing>
          <wp:inline distT="0" distB="0" distL="0" distR="0" wp14:anchorId="4552D286" wp14:editId="4435C87D">
            <wp:extent cx="2755900" cy="2755900"/>
            <wp:effectExtent l="0" t="0" r="635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46CDC046" wp14:editId="525FA88F">
            <wp:extent cx="2755900" cy="2755900"/>
            <wp:effectExtent l="0" t="0" r="635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4D73201D" w14:textId="3565E9CB" w:rsidR="002F413C" w:rsidRDefault="002F413C" w:rsidP="00543D2E">
      <w:pPr>
        <w:spacing w:after="160" w:line="259" w:lineRule="auto"/>
        <w:jc w:val="center"/>
        <w:rPr>
          <w:noProof/>
        </w:rPr>
      </w:pPr>
      <w:r>
        <w:rPr>
          <w:noProof/>
        </w:rPr>
        <w:drawing>
          <wp:inline distT="0" distB="0" distL="0" distR="0" wp14:anchorId="2569EB80" wp14:editId="7162D2ED">
            <wp:extent cx="2755900" cy="2755900"/>
            <wp:effectExtent l="0" t="0" r="635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4566120F" wp14:editId="371138CF">
            <wp:extent cx="2755900" cy="2755900"/>
            <wp:effectExtent l="0" t="0" r="635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21C6D6A8" w14:textId="047BC4C3" w:rsidR="002F413C" w:rsidRDefault="002F413C">
      <w:pPr>
        <w:spacing w:after="160" w:line="259" w:lineRule="auto"/>
        <w:rPr>
          <w:noProof/>
        </w:rPr>
      </w:pPr>
      <w:r>
        <w:rPr>
          <w:noProof/>
        </w:rPr>
        <w:br w:type="page"/>
      </w:r>
    </w:p>
    <w:p w14:paraId="1B3827D0" w14:textId="30923DF1" w:rsidR="002F413C" w:rsidRDefault="0027717E" w:rsidP="00543D2E">
      <w:pPr>
        <w:spacing w:after="160" w:line="259" w:lineRule="auto"/>
        <w:jc w:val="center"/>
        <w:rPr>
          <w:noProof/>
        </w:rPr>
      </w:pPr>
      <w:r>
        <w:rPr>
          <w:noProof/>
        </w:rPr>
        <w:lastRenderedPageBreak/>
        <w:drawing>
          <wp:inline distT="0" distB="0" distL="0" distR="0" wp14:anchorId="2DE82D89" wp14:editId="52739DC0">
            <wp:extent cx="2755900" cy="2755900"/>
            <wp:effectExtent l="0" t="0" r="635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67E77812" wp14:editId="19C92E7B">
            <wp:extent cx="2755900" cy="27559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755F10F4" w14:textId="279AF2A8" w:rsidR="0027717E" w:rsidRDefault="0027717E" w:rsidP="00543D2E">
      <w:pPr>
        <w:spacing w:after="160" w:line="259" w:lineRule="auto"/>
        <w:jc w:val="center"/>
        <w:rPr>
          <w:noProof/>
        </w:rPr>
      </w:pPr>
      <w:r>
        <w:rPr>
          <w:noProof/>
        </w:rPr>
        <w:drawing>
          <wp:inline distT="0" distB="0" distL="0" distR="0" wp14:anchorId="1A6199EA" wp14:editId="6448A219">
            <wp:extent cx="2755900" cy="275590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39D4AEB8" wp14:editId="03CEB414">
            <wp:extent cx="2755900" cy="27559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7E5BD478" w14:textId="51C22E2D" w:rsidR="0027717E" w:rsidRDefault="0027717E" w:rsidP="00543D2E">
      <w:pPr>
        <w:spacing w:after="160" w:line="259" w:lineRule="auto"/>
        <w:jc w:val="center"/>
        <w:rPr>
          <w:noProof/>
        </w:rPr>
      </w:pPr>
      <w:r>
        <w:rPr>
          <w:noProof/>
        </w:rPr>
        <w:drawing>
          <wp:inline distT="0" distB="0" distL="0" distR="0" wp14:anchorId="5D461ADA" wp14:editId="182E8DED">
            <wp:extent cx="2755900" cy="27559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217253BC" w14:textId="77777777" w:rsidR="0027717E" w:rsidRDefault="0027717E">
      <w:pPr>
        <w:spacing w:after="160" w:line="259" w:lineRule="auto"/>
        <w:rPr>
          <w:noProof/>
        </w:rPr>
      </w:pPr>
      <w:r>
        <w:rPr>
          <w:noProof/>
        </w:rPr>
        <w:br w:type="page"/>
      </w:r>
    </w:p>
    <w:p w14:paraId="09E92F24" w14:textId="46F46FE7" w:rsidR="0027717E" w:rsidRDefault="0027717E" w:rsidP="00543D2E">
      <w:pPr>
        <w:spacing w:after="160" w:line="259" w:lineRule="auto"/>
        <w:jc w:val="center"/>
        <w:rPr>
          <w:noProof/>
        </w:rPr>
      </w:pPr>
      <w:r>
        <w:rPr>
          <w:noProof/>
        </w:rPr>
        <w:lastRenderedPageBreak/>
        <w:drawing>
          <wp:inline distT="0" distB="0" distL="0" distR="0" wp14:anchorId="4276163C" wp14:editId="5DD706AC">
            <wp:extent cx="2755900" cy="2755900"/>
            <wp:effectExtent l="0" t="0" r="635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219673CF" wp14:editId="2D75E247">
            <wp:extent cx="2755900" cy="2755900"/>
            <wp:effectExtent l="0" t="0" r="635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p w14:paraId="2A75CA02" w14:textId="4E7A000D" w:rsidR="0027717E" w:rsidRPr="00543D2E" w:rsidRDefault="0027717E" w:rsidP="00543D2E">
      <w:pPr>
        <w:spacing w:after="160" w:line="259" w:lineRule="auto"/>
        <w:jc w:val="center"/>
        <w:rPr>
          <w:noProof/>
        </w:rPr>
      </w:pPr>
      <w:r>
        <w:rPr>
          <w:noProof/>
        </w:rPr>
        <w:drawing>
          <wp:inline distT="0" distB="0" distL="0" distR="0" wp14:anchorId="260BF3A6" wp14:editId="549383A4">
            <wp:extent cx="2755900" cy="2755900"/>
            <wp:effectExtent l="0" t="0" r="635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r>
        <w:rPr>
          <w:noProof/>
        </w:rPr>
        <w:t xml:space="preserve">   </w:t>
      </w:r>
      <w:r>
        <w:rPr>
          <w:noProof/>
        </w:rPr>
        <w:drawing>
          <wp:inline distT="0" distB="0" distL="0" distR="0" wp14:anchorId="25CA662B" wp14:editId="7D3DFF59">
            <wp:extent cx="2755900" cy="2755900"/>
            <wp:effectExtent l="0" t="0" r="635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sectPr w:rsidR="0027717E" w:rsidRPr="00543D2E" w:rsidSect="003B327A">
      <w:footerReference w:type="default" r:id="rId53"/>
      <w:pgSz w:w="12240" w:h="15840"/>
      <w:pgMar w:top="720" w:right="1440" w:bottom="72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9838" w14:textId="77777777" w:rsidR="004A0A6D" w:rsidRDefault="004A0A6D" w:rsidP="003B327A">
      <w:r>
        <w:separator/>
      </w:r>
    </w:p>
  </w:endnote>
  <w:endnote w:type="continuationSeparator" w:id="0">
    <w:p w14:paraId="5D02054B" w14:textId="77777777" w:rsidR="004A0A6D" w:rsidRDefault="004A0A6D"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911470"/>
      <w:docPartObj>
        <w:docPartGallery w:val="Page Numbers (Bottom of Page)"/>
        <w:docPartUnique/>
      </w:docPartObj>
    </w:sdtPr>
    <w:sdtEndPr>
      <w:rPr>
        <w:noProof/>
      </w:rPr>
    </w:sdtEndPr>
    <w:sdtContent>
      <w:p w14:paraId="50B44136" w14:textId="7CC7BE66" w:rsidR="00086B75" w:rsidRDefault="00086B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9DD8E" w14:textId="77777777" w:rsidR="00086B75" w:rsidRDefault="00086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389F" w14:textId="77777777" w:rsidR="004A0A6D" w:rsidRDefault="004A0A6D" w:rsidP="003B327A">
      <w:r>
        <w:separator/>
      </w:r>
    </w:p>
  </w:footnote>
  <w:footnote w:type="continuationSeparator" w:id="0">
    <w:p w14:paraId="5981563A" w14:textId="77777777" w:rsidR="004A0A6D" w:rsidRDefault="004A0A6D" w:rsidP="003B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83"/>
    <w:rsid w:val="00002A09"/>
    <w:rsid w:val="000040B0"/>
    <w:rsid w:val="0000535B"/>
    <w:rsid w:val="00010A1A"/>
    <w:rsid w:val="000231FD"/>
    <w:rsid w:val="00027002"/>
    <w:rsid w:val="00027936"/>
    <w:rsid w:val="000418A7"/>
    <w:rsid w:val="00050EC7"/>
    <w:rsid w:val="00057F91"/>
    <w:rsid w:val="000643AB"/>
    <w:rsid w:val="00075CB8"/>
    <w:rsid w:val="00080DB8"/>
    <w:rsid w:val="00080E07"/>
    <w:rsid w:val="00080EBB"/>
    <w:rsid w:val="0008180B"/>
    <w:rsid w:val="00081B02"/>
    <w:rsid w:val="000834B8"/>
    <w:rsid w:val="00083B67"/>
    <w:rsid w:val="00085C75"/>
    <w:rsid w:val="00086B75"/>
    <w:rsid w:val="000871EE"/>
    <w:rsid w:val="00087232"/>
    <w:rsid w:val="000927A7"/>
    <w:rsid w:val="000A1E2F"/>
    <w:rsid w:val="000A2CE6"/>
    <w:rsid w:val="000A3217"/>
    <w:rsid w:val="000A7A27"/>
    <w:rsid w:val="000C1709"/>
    <w:rsid w:val="000C5D86"/>
    <w:rsid w:val="000F0146"/>
    <w:rsid w:val="000F21F9"/>
    <w:rsid w:val="000F623E"/>
    <w:rsid w:val="00103E62"/>
    <w:rsid w:val="001111CB"/>
    <w:rsid w:val="00120199"/>
    <w:rsid w:val="00124A77"/>
    <w:rsid w:val="00127EF0"/>
    <w:rsid w:val="001312C0"/>
    <w:rsid w:val="00153E0D"/>
    <w:rsid w:val="00156337"/>
    <w:rsid w:val="00157115"/>
    <w:rsid w:val="00160EED"/>
    <w:rsid w:val="00162A57"/>
    <w:rsid w:val="00167120"/>
    <w:rsid w:val="001710C0"/>
    <w:rsid w:val="00172794"/>
    <w:rsid w:val="00172E7E"/>
    <w:rsid w:val="00176044"/>
    <w:rsid w:val="001813B3"/>
    <w:rsid w:val="00183378"/>
    <w:rsid w:val="001865ED"/>
    <w:rsid w:val="00192A0B"/>
    <w:rsid w:val="001A060A"/>
    <w:rsid w:val="001A5F8A"/>
    <w:rsid w:val="001A6012"/>
    <w:rsid w:val="001B4CFE"/>
    <w:rsid w:val="001B610A"/>
    <w:rsid w:val="001C2406"/>
    <w:rsid w:val="001C2B1D"/>
    <w:rsid w:val="001C62A3"/>
    <w:rsid w:val="001D27D9"/>
    <w:rsid w:val="001D331B"/>
    <w:rsid w:val="001D7B23"/>
    <w:rsid w:val="001F0911"/>
    <w:rsid w:val="001F245E"/>
    <w:rsid w:val="001F5CBD"/>
    <w:rsid w:val="00200D3B"/>
    <w:rsid w:val="00205183"/>
    <w:rsid w:val="00211BC4"/>
    <w:rsid w:val="00214A45"/>
    <w:rsid w:val="002156E5"/>
    <w:rsid w:val="002228CD"/>
    <w:rsid w:val="0023346D"/>
    <w:rsid w:val="002369FD"/>
    <w:rsid w:val="00241968"/>
    <w:rsid w:val="002425C6"/>
    <w:rsid w:val="00256F5E"/>
    <w:rsid w:val="0025772F"/>
    <w:rsid w:val="00261855"/>
    <w:rsid w:val="00270176"/>
    <w:rsid w:val="00270753"/>
    <w:rsid w:val="0027717E"/>
    <w:rsid w:val="00284DBA"/>
    <w:rsid w:val="002972C9"/>
    <w:rsid w:val="002A78ED"/>
    <w:rsid w:val="002B5840"/>
    <w:rsid w:val="002C12CA"/>
    <w:rsid w:val="002C639C"/>
    <w:rsid w:val="002E391A"/>
    <w:rsid w:val="002F413C"/>
    <w:rsid w:val="002F59D0"/>
    <w:rsid w:val="003014F6"/>
    <w:rsid w:val="003079C4"/>
    <w:rsid w:val="003105DB"/>
    <w:rsid w:val="00314345"/>
    <w:rsid w:val="0031482E"/>
    <w:rsid w:val="0031621B"/>
    <w:rsid w:val="003176C9"/>
    <w:rsid w:val="00323325"/>
    <w:rsid w:val="00326B56"/>
    <w:rsid w:val="0033059A"/>
    <w:rsid w:val="0033168B"/>
    <w:rsid w:val="00352251"/>
    <w:rsid w:val="00354473"/>
    <w:rsid w:val="003639E9"/>
    <w:rsid w:val="003724B8"/>
    <w:rsid w:val="00376618"/>
    <w:rsid w:val="00377E8C"/>
    <w:rsid w:val="00377E9E"/>
    <w:rsid w:val="003B1886"/>
    <w:rsid w:val="003B327A"/>
    <w:rsid w:val="003C5FD7"/>
    <w:rsid w:val="003D41B2"/>
    <w:rsid w:val="003F1A08"/>
    <w:rsid w:val="003F321A"/>
    <w:rsid w:val="003F403D"/>
    <w:rsid w:val="0040188A"/>
    <w:rsid w:val="00406BF6"/>
    <w:rsid w:val="00407D21"/>
    <w:rsid w:val="00412F73"/>
    <w:rsid w:val="00416329"/>
    <w:rsid w:val="004217B7"/>
    <w:rsid w:val="0043444E"/>
    <w:rsid w:val="00435320"/>
    <w:rsid w:val="00437958"/>
    <w:rsid w:val="00437E34"/>
    <w:rsid w:val="0044014E"/>
    <w:rsid w:val="004433DB"/>
    <w:rsid w:val="00450916"/>
    <w:rsid w:val="00460083"/>
    <w:rsid w:val="004616F1"/>
    <w:rsid w:val="00470AB1"/>
    <w:rsid w:val="0047433E"/>
    <w:rsid w:val="00476AA0"/>
    <w:rsid w:val="0048406D"/>
    <w:rsid w:val="0049421B"/>
    <w:rsid w:val="004A0A6D"/>
    <w:rsid w:val="004A1A6C"/>
    <w:rsid w:val="004A5A2A"/>
    <w:rsid w:val="004A5FC1"/>
    <w:rsid w:val="004B1439"/>
    <w:rsid w:val="004C7E31"/>
    <w:rsid w:val="004E6E55"/>
    <w:rsid w:val="004F022E"/>
    <w:rsid w:val="004F08C0"/>
    <w:rsid w:val="004F440A"/>
    <w:rsid w:val="00503E46"/>
    <w:rsid w:val="00510938"/>
    <w:rsid w:val="005160A6"/>
    <w:rsid w:val="005170D2"/>
    <w:rsid w:val="005201F4"/>
    <w:rsid w:val="0052049F"/>
    <w:rsid w:val="00526C79"/>
    <w:rsid w:val="005335BE"/>
    <w:rsid w:val="00534DD3"/>
    <w:rsid w:val="0054105F"/>
    <w:rsid w:val="00543D2E"/>
    <w:rsid w:val="005460CE"/>
    <w:rsid w:val="005478AC"/>
    <w:rsid w:val="0055147B"/>
    <w:rsid w:val="0055148B"/>
    <w:rsid w:val="005552A3"/>
    <w:rsid w:val="0055631D"/>
    <w:rsid w:val="00556E33"/>
    <w:rsid w:val="005640BF"/>
    <w:rsid w:val="005650BC"/>
    <w:rsid w:val="0057459F"/>
    <w:rsid w:val="00577F84"/>
    <w:rsid w:val="00580AAD"/>
    <w:rsid w:val="00585519"/>
    <w:rsid w:val="0059459C"/>
    <w:rsid w:val="0059620F"/>
    <w:rsid w:val="005C2D08"/>
    <w:rsid w:val="005C4AF7"/>
    <w:rsid w:val="005D3CB3"/>
    <w:rsid w:val="005E0A00"/>
    <w:rsid w:val="005E4C81"/>
    <w:rsid w:val="00602021"/>
    <w:rsid w:val="0060287B"/>
    <w:rsid w:val="00603A94"/>
    <w:rsid w:val="00612A8B"/>
    <w:rsid w:val="006213F9"/>
    <w:rsid w:val="00623E52"/>
    <w:rsid w:val="00627F72"/>
    <w:rsid w:val="00636212"/>
    <w:rsid w:val="006416AF"/>
    <w:rsid w:val="00641D2E"/>
    <w:rsid w:val="00645AD0"/>
    <w:rsid w:val="00654B2A"/>
    <w:rsid w:val="00654C36"/>
    <w:rsid w:val="00656C73"/>
    <w:rsid w:val="00657358"/>
    <w:rsid w:val="00657D2E"/>
    <w:rsid w:val="00667F9C"/>
    <w:rsid w:val="0067111B"/>
    <w:rsid w:val="00681DC8"/>
    <w:rsid w:val="00690597"/>
    <w:rsid w:val="00690E70"/>
    <w:rsid w:val="00697985"/>
    <w:rsid w:val="006A0D96"/>
    <w:rsid w:val="006C03DB"/>
    <w:rsid w:val="006C0A4A"/>
    <w:rsid w:val="006D13A0"/>
    <w:rsid w:val="006D176A"/>
    <w:rsid w:val="006D195E"/>
    <w:rsid w:val="006D22A4"/>
    <w:rsid w:val="006D6799"/>
    <w:rsid w:val="006E0511"/>
    <w:rsid w:val="006E60DF"/>
    <w:rsid w:val="006F027C"/>
    <w:rsid w:val="0070562B"/>
    <w:rsid w:val="00714E08"/>
    <w:rsid w:val="00721F71"/>
    <w:rsid w:val="00727298"/>
    <w:rsid w:val="0073360C"/>
    <w:rsid w:val="00736B38"/>
    <w:rsid w:val="0074260B"/>
    <w:rsid w:val="00742C85"/>
    <w:rsid w:val="00752249"/>
    <w:rsid w:val="00754539"/>
    <w:rsid w:val="00754FD0"/>
    <w:rsid w:val="00757A0D"/>
    <w:rsid w:val="0077361B"/>
    <w:rsid w:val="0078467D"/>
    <w:rsid w:val="007848D3"/>
    <w:rsid w:val="0079199D"/>
    <w:rsid w:val="0079281B"/>
    <w:rsid w:val="0079305F"/>
    <w:rsid w:val="007B6D3B"/>
    <w:rsid w:val="007C3602"/>
    <w:rsid w:val="007C3727"/>
    <w:rsid w:val="007C40CE"/>
    <w:rsid w:val="007E0B53"/>
    <w:rsid w:val="007E12FC"/>
    <w:rsid w:val="00800766"/>
    <w:rsid w:val="0080131C"/>
    <w:rsid w:val="00805843"/>
    <w:rsid w:val="00805CC5"/>
    <w:rsid w:val="0080655E"/>
    <w:rsid w:val="00813045"/>
    <w:rsid w:val="008130DA"/>
    <w:rsid w:val="00815481"/>
    <w:rsid w:val="00817377"/>
    <w:rsid w:val="00831E2B"/>
    <w:rsid w:val="00832D28"/>
    <w:rsid w:val="00853C6E"/>
    <w:rsid w:val="00857CA5"/>
    <w:rsid w:val="00886BD5"/>
    <w:rsid w:val="008922D3"/>
    <w:rsid w:val="00892539"/>
    <w:rsid w:val="0089320B"/>
    <w:rsid w:val="00896C6F"/>
    <w:rsid w:val="008A6E66"/>
    <w:rsid w:val="008B059D"/>
    <w:rsid w:val="008C1EA3"/>
    <w:rsid w:val="008C6F6A"/>
    <w:rsid w:val="008D51A0"/>
    <w:rsid w:val="008E494E"/>
    <w:rsid w:val="008F15EA"/>
    <w:rsid w:val="00912FB8"/>
    <w:rsid w:val="00913F14"/>
    <w:rsid w:val="0091767C"/>
    <w:rsid w:val="0092306F"/>
    <w:rsid w:val="009407A1"/>
    <w:rsid w:val="00945145"/>
    <w:rsid w:val="00945C7F"/>
    <w:rsid w:val="00946D4A"/>
    <w:rsid w:val="00950D76"/>
    <w:rsid w:val="00956B75"/>
    <w:rsid w:val="00957AA6"/>
    <w:rsid w:val="00960659"/>
    <w:rsid w:val="00963F94"/>
    <w:rsid w:val="00965378"/>
    <w:rsid w:val="00966533"/>
    <w:rsid w:val="00973EEB"/>
    <w:rsid w:val="00977AE7"/>
    <w:rsid w:val="00986E1D"/>
    <w:rsid w:val="00992EDE"/>
    <w:rsid w:val="009977F2"/>
    <w:rsid w:val="009A03F9"/>
    <w:rsid w:val="009A3885"/>
    <w:rsid w:val="009A6291"/>
    <w:rsid w:val="009A6579"/>
    <w:rsid w:val="009B5407"/>
    <w:rsid w:val="009B6FCA"/>
    <w:rsid w:val="009B7675"/>
    <w:rsid w:val="009C003E"/>
    <w:rsid w:val="009C29B1"/>
    <w:rsid w:val="009C6EA8"/>
    <w:rsid w:val="009D2241"/>
    <w:rsid w:val="009D4F89"/>
    <w:rsid w:val="009E2EEB"/>
    <w:rsid w:val="009E4BB1"/>
    <w:rsid w:val="009E62B4"/>
    <w:rsid w:val="009F21C4"/>
    <w:rsid w:val="00A017CA"/>
    <w:rsid w:val="00A07F36"/>
    <w:rsid w:val="00A139C9"/>
    <w:rsid w:val="00A211BB"/>
    <w:rsid w:val="00A2539A"/>
    <w:rsid w:val="00A25A48"/>
    <w:rsid w:val="00A30F7F"/>
    <w:rsid w:val="00A35390"/>
    <w:rsid w:val="00A37F31"/>
    <w:rsid w:val="00A42571"/>
    <w:rsid w:val="00A60995"/>
    <w:rsid w:val="00A648D1"/>
    <w:rsid w:val="00A66F2A"/>
    <w:rsid w:val="00A73F2D"/>
    <w:rsid w:val="00A761D3"/>
    <w:rsid w:val="00A82582"/>
    <w:rsid w:val="00A92D0C"/>
    <w:rsid w:val="00A96CA0"/>
    <w:rsid w:val="00AA16AC"/>
    <w:rsid w:val="00AB0545"/>
    <w:rsid w:val="00AB1D2A"/>
    <w:rsid w:val="00AB30DB"/>
    <w:rsid w:val="00AB3A0C"/>
    <w:rsid w:val="00AC3065"/>
    <w:rsid w:val="00AD642D"/>
    <w:rsid w:val="00AE1A13"/>
    <w:rsid w:val="00AE3BB8"/>
    <w:rsid w:val="00AE3EB4"/>
    <w:rsid w:val="00AE6343"/>
    <w:rsid w:val="00AF6456"/>
    <w:rsid w:val="00B01F83"/>
    <w:rsid w:val="00B062F3"/>
    <w:rsid w:val="00B10BC3"/>
    <w:rsid w:val="00B170CC"/>
    <w:rsid w:val="00B31A16"/>
    <w:rsid w:val="00B330BD"/>
    <w:rsid w:val="00B40DFC"/>
    <w:rsid w:val="00B704CC"/>
    <w:rsid w:val="00B92635"/>
    <w:rsid w:val="00BA6A26"/>
    <w:rsid w:val="00BA70FF"/>
    <w:rsid w:val="00BA71CB"/>
    <w:rsid w:val="00BA7AF1"/>
    <w:rsid w:val="00BB352F"/>
    <w:rsid w:val="00BB4423"/>
    <w:rsid w:val="00BB46BC"/>
    <w:rsid w:val="00BB4AB9"/>
    <w:rsid w:val="00BB55D6"/>
    <w:rsid w:val="00BC1205"/>
    <w:rsid w:val="00BC22D6"/>
    <w:rsid w:val="00BD363D"/>
    <w:rsid w:val="00BD6EF6"/>
    <w:rsid w:val="00BE0E5A"/>
    <w:rsid w:val="00BF05EC"/>
    <w:rsid w:val="00BF155E"/>
    <w:rsid w:val="00BF7895"/>
    <w:rsid w:val="00C0002D"/>
    <w:rsid w:val="00C01D83"/>
    <w:rsid w:val="00C066D8"/>
    <w:rsid w:val="00C075BE"/>
    <w:rsid w:val="00C10261"/>
    <w:rsid w:val="00C10518"/>
    <w:rsid w:val="00C105B5"/>
    <w:rsid w:val="00C10CD6"/>
    <w:rsid w:val="00C14C58"/>
    <w:rsid w:val="00C16329"/>
    <w:rsid w:val="00C20959"/>
    <w:rsid w:val="00C22763"/>
    <w:rsid w:val="00C3154E"/>
    <w:rsid w:val="00C334B0"/>
    <w:rsid w:val="00C34FFF"/>
    <w:rsid w:val="00C41C9C"/>
    <w:rsid w:val="00C42A34"/>
    <w:rsid w:val="00C5567F"/>
    <w:rsid w:val="00C60C7C"/>
    <w:rsid w:val="00C63707"/>
    <w:rsid w:val="00C63D82"/>
    <w:rsid w:val="00C718CC"/>
    <w:rsid w:val="00C73AAD"/>
    <w:rsid w:val="00C746BD"/>
    <w:rsid w:val="00C76AED"/>
    <w:rsid w:val="00C919A0"/>
    <w:rsid w:val="00CB0548"/>
    <w:rsid w:val="00CB5E83"/>
    <w:rsid w:val="00CC1EAA"/>
    <w:rsid w:val="00CC316C"/>
    <w:rsid w:val="00CD08DE"/>
    <w:rsid w:val="00CD19F7"/>
    <w:rsid w:val="00CD4658"/>
    <w:rsid w:val="00CF3506"/>
    <w:rsid w:val="00CF40BD"/>
    <w:rsid w:val="00CF712E"/>
    <w:rsid w:val="00D0513E"/>
    <w:rsid w:val="00D061C3"/>
    <w:rsid w:val="00D126F1"/>
    <w:rsid w:val="00D128E8"/>
    <w:rsid w:val="00D15637"/>
    <w:rsid w:val="00D1723D"/>
    <w:rsid w:val="00D27B49"/>
    <w:rsid w:val="00D31E52"/>
    <w:rsid w:val="00D34058"/>
    <w:rsid w:val="00D432FD"/>
    <w:rsid w:val="00D56385"/>
    <w:rsid w:val="00D71B10"/>
    <w:rsid w:val="00D729BF"/>
    <w:rsid w:val="00D7710D"/>
    <w:rsid w:val="00D83A25"/>
    <w:rsid w:val="00D8709F"/>
    <w:rsid w:val="00D900A8"/>
    <w:rsid w:val="00D9455C"/>
    <w:rsid w:val="00DA2234"/>
    <w:rsid w:val="00DA2DEC"/>
    <w:rsid w:val="00DA482F"/>
    <w:rsid w:val="00DA4DBE"/>
    <w:rsid w:val="00DB7C1E"/>
    <w:rsid w:val="00DC55EC"/>
    <w:rsid w:val="00DC6504"/>
    <w:rsid w:val="00DC6F85"/>
    <w:rsid w:val="00DD184E"/>
    <w:rsid w:val="00DD2BDC"/>
    <w:rsid w:val="00DD615F"/>
    <w:rsid w:val="00DE4001"/>
    <w:rsid w:val="00DE4409"/>
    <w:rsid w:val="00DE478C"/>
    <w:rsid w:val="00DE613A"/>
    <w:rsid w:val="00DF411E"/>
    <w:rsid w:val="00E02A9E"/>
    <w:rsid w:val="00E132E6"/>
    <w:rsid w:val="00E22DD1"/>
    <w:rsid w:val="00E302C4"/>
    <w:rsid w:val="00E3381F"/>
    <w:rsid w:val="00E35D19"/>
    <w:rsid w:val="00E37C15"/>
    <w:rsid w:val="00E4060D"/>
    <w:rsid w:val="00E4062C"/>
    <w:rsid w:val="00E40C3D"/>
    <w:rsid w:val="00E44884"/>
    <w:rsid w:val="00E456F1"/>
    <w:rsid w:val="00E46188"/>
    <w:rsid w:val="00E54BEE"/>
    <w:rsid w:val="00E559AE"/>
    <w:rsid w:val="00E5715D"/>
    <w:rsid w:val="00E64AEC"/>
    <w:rsid w:val="00E72019"/>
    <w:rsid w:val="00E8432A"/>
    <w:rsid w:val="00E901FE"/>
    <w:rsid w:val="00E913B2"/>
    <w:rsid w:val="00EA2981"/>
    <w:rsid w:val="00EB2CA3"/>
    <w:rsid w:val="00EB334C"/>
    <w:rsid w:val="00EB405F"/>
    <w:rsid w:val="00EB49AC"/>
    <w:rsid w:val="00EB5F66"/>
    <w:rsid w:val="00EC22D0"/>
    <w:rsid w:val="00EC23F2"/>
    <w:rsid w:val="00EC6180"/>
    <w:rsid w:val="00EC789A"/>
    <w:rsid w:val="00ED27FC"/>
    <w:rsid w:val="00EE433A"/>
    <w:rsid w:val="00F03600"/>
    <w:rsid w:val="00F0620C"/>
    <w:rsid w:val="00F07937"/>
    <w:rsid w:val="00F105E6"/>
    <w:rsid w:val="00F27208"/>
    <w:rsid w:val="00F31ECC"/>
    <w:rsid w:val="00F34596"/>
    <w:rsid w:val="00F35608"/>
    <w:rsid w:val="00F35E94"/>
    <w:rsid w:val="00F40BDC"/>
    <w:rsid w:val="00F4138C"/>
    <w:rsid w:val="00F41BD7"/>
    <w:rsid w:val="00F43485"/>
    <w:rsid w:val="00F4702E"/>
    <w:rsid w:val="00F47C51"/>
    <w:rsid w:val="00F537E4"/>
    <w:rsid w:val="00F56E8C"/>
    <w:rsid w:val="00F677F0"/>
    <w:rsid w:val="00F67F9D"/>
    <w:rsid w:val="00F71BBF"/>
    <w:rsid w:val="00F73353"/>
    <w:rsid w:val="00F80C68"/>
    <w:rsid w:val="00F852D3"/>
    <w:rsid w:val="00F90B4C"/>
    <w:rsid w:val="00F93942"/>
    <w:rsid w:val="00F95110"/>
    <w:rsid w:val="00FA099D"/>
    <w:rsid w:val="00FA1C63"/>
    <w:rsid w:val="00FB5F93"/>
    <w:rsid w:val="00FC30D6"/>
    <w:rsid w:val="00FC47BB"/>
    <w:rsid w:val="00FC7E7D"/>
    <w:rsid w:val="00FD5A6A"/>
    <w:rsid w:val="00FD6F12"/>
    <w:rsid w:val="00FE3DE4"/>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7C55"/>
  <w15:chartTrackingRefBased/>
  <w15:docId w15:val="{802843E4-AE45-49BC-A261-033C861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C73AA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9459C"/>
    <w:rPr>
      <w:sz w:val="16"/>
      <w:szCs w:val="16"/>
    </w:rPr>
  </w:style>
  <w:style w:type="paragraph" w:styleId="CommentText">
    <w:name w:val="annotation text"/>
    <w:basedOn w:val="Normal"/>
    <w:link w:val="CommentTextChar"/>
    <w:uiPriority w:val="99"/>
    <w:semiHidden/>
    <w:unhideWhenUsed/>
    <w:rsid w:val="0059459C"/>
    <w:rPr>
      <w:sz w:val="20"/>
      <w:szCs w:val="20"/>
    </w:rPr>
  </w:style>
  <w:style w:type="character" w:customStyle="1" w:styleId="CommentTextChar">
    <w:name w:val="Comment Text Char"/>
    <w:basedOn w:val="DefaultParagraphFont"/>
    <w:link w:val="CommentText"/>
    <w:uiPriority w:val="99"/>
    <w:semiHidden/>
    <w:rsid w:val="0059459C"/>
    <w:rPr>
      <w:sz w:val="20"/>
      <w:szCs w:val="20"/>
    </w:rPr>
  </w:style>
  <w:style w:type="paragraph" w:styleId="CommentSubject">
    <w:name w:val="annotation subject"/>
    <w:basedOn w:val="CommentText"/>
    <w:next w:val="CommentText"/>
    <w:link w:val="CommentSubjectChar"/>
    <w:uiPriority w:val="99"/>
    <w:semiHidden/>
    <w:unhideWhenUsed/>
    <w:rsid w:val="0059459C"/>
    <w:rPr>
      <w:b/>
      <w:bCs/>
    </w:rPr>
  </w:style>
  <w:style w:type="character" w:customStyle="1" w:styleId="CommentSubjectChar">
    <w:name w:val="Comment Subject Char"/>
    <w:basedOn w:val="CommentTextChar"/>
    <w:link w:val="CommentSubject"/>
    <w:uiPriority w:val="99"/>
    <w:semiHidden/>
    <w:rsid w:val="0059459C"/>
    <w:rPr>
      <w:b/>
      <w:bCs/>
      <w:sz w:val="20"/>
      <w:szCs w:val="20"/>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image" Target="media/image14.png"/><Relationship Id="rId11" Type="http://schemas.openxmlformats.org/officeDocument/2006/relationships/chart" Target="charts/chart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ke@gmar."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hyperlink" Target="mailto:mike@gmar." TargetMode="External"/><Relationship Id="rId14" Type="http://schemas.openxmlformats.org/officeDocument/2006/relationships/chart" Target="charts/chart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image" Target="media/image1.gif"/><Relationship Id="rId51" Type="http://schemas.openxmlformats.org/officeDocument/2006/relationships/image" Target="media/image36.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r>
              <a:rPr lang="en-US">
                <a:solidFill>
                  <a:sysClr val="windowText" lastClr="000000"/>
                </a:solidFill>
              </a:rPr>
              <a:t>Seasonally Adjusted Inventory</a:t>
            </a:r>
          </a:p>
          <a:p>
            <a:pPr>
              <a:defRPr>
                <a:solidFill>
                  <a:sysClr val="windowText" lastClr="000000"/>
                </a:solidFill>
              </a:defRPr>
            </a:pPr>
            <a:r>
              <a:rPr lang="en-US" sz="900">
                <a:solidFill>
                  <a:sysClr val="windowText" lastClr="000000"/>
                </a:solidFill>
              </a:rPr>
              <a:t>(units left</a:t>
            </a:r>
            <a:r>
              <a:rPr lang="en-US" sz="900" baseline="0">
                <a:solidFill>
                  <a:sysClr val="windowText" lastClr="000000"/>
                </a:solidFill>
              </a:rPr>
              <a:t> side, months right side)</a:t>
            </a:r>
            <a:endParaRPr lang="en-US" sz="900">
              <a:solidFill>
                <a:sysClr val="windowText" lastClr="000000"/>
              </a:solidFill>
            </a:endParaRPr>
          </a:p>
        </c:rich>
      </c:tx>
      <c:layout>
        <c:manualLayout>
          <c:xMode val="edge"/>
          <c:yMode val="edge"/>
          <c:x val="0.30328667249927088"/>
          <c:y val="2.80282152230971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Data'!$A$135</c:f>
              <c:strCache>
                <c:ptCount val="1"/>
                <c:pt idx="0">
                  <c:v>Current Active</c:v>
                </c:pt>
              </c:strCache>
            </c:strRef>
          </c:tx>
          <c:spPr>
            <a:solidFill>
              <a:srgbClr val="B3BEDF"/>
            </a:solidFill>
            <a:ln>
              <a:noFill/>
            </a:ln>
            <a:effectLst/>
          </c:spPr>
          <c:cat>
            <c:strRef>
              <c:f>'Monthly Stats Data'!$B$133:$N$133</c:f>
              <c:strCache>
                <c:ptCount val="13"/>
                <c:pt idx="0">
                  <c:v>Dec</c:v>
                </c:pt>
                <c:pt idx="1">
                  <c:v>Jan</c:v>
                </c:pt>
                <c:pt idx="2">
                  <c:v>Feb</c:v>
                </c:pt>
                <c:pt idx="3">
                  <c:v>Mar</c:v>
                </c:pt>
                <c:pt idx="4">
                  <c:v>April</c:v>
                </c:pt>
                <c:pt idx="5">
                  <c:v>May</c:v>
                </c:pt>
                <c:pt idx="6">
                  <c:v>Jun</c:v>
                </c:pt>
                <c:pt idx="7">
                  <c:v>Jul</c:v>
                </c:pt>
                <c:pt idx="8">
                  <c:v>Aug</c:v>
                </c:pt>
                <c:pt idx="9">
                  <c:v>Sept</c:v>
                </c:pt>
                <c:pt idx="10">
                  <c:v>Oct</c:v>
                </c:pt>
                <c:pt idx="11">
                  <c:v>Nov</c:v>
                </c:pt>
                <c:pt idx="12">
                  <c:v>Dec</c:v>
                </c:pt>
              </c:strCache>
            </c:strRef>
          </c:cat>
          <c:val>
            <c:numRef>
              <c:f>'Monthly Stats Data'!$B$135:$N$135</c:f>
              <c:numCache>
                <c:formatCode>_(* #,##0_);_(* \(#,##0\);_(* "-"??_);_(@_)</c:formatCode>
                <c:ptCount val="13"/>
                <c:pt idx="0">
                  <c:v>2162</c:v>
                </c:pt>
                <c:pt idx="1">
                  <c:v>1813</c:v>
                </c:pt>
                <c:pt idx="2">
                  <c:v>1478</c:v>
                </c:pt>
                <c:pt idx="3">
                  <c:v>1547</c:v>
                </c:pt>
                <c:pt idx="4">
                  <c:v>1762</c:v>
                </c:pt>
                <c:pt idx="5">
                  <c:v>2057</c:v>
                </c:pt>
                <c:pt idx="6">
                  <c:v>2750</c:v>
                </c:pt>
                <c:pt idx="7">
                  <c:v>3179</c:v>
                </c:pt>
                <c:pt idx="8">
                  <c:v>3458</c:v>
                </c:pt>
                <c:pt idx="9">
                  <c:v>3265</c:v>
                </c:pt>
                <c:pt idx="10">
                  <c:v>3137</c:v>
                </c:pt>
                <c:pt idx="11">
                  <c:v>2700</c:v>
                </c:pt>
                <c:pt idx="12">
                  <c:v>2334</c:v>
                </c:pt>
              </c:numCache>
            </c:numRef>
          </c:val>
          <c:extLst>
            <c:ext xmlns:c16="http://schemas.microsoft.com/office/drawing/2014/chart" uri="{C3380CC4-5D6E-409C-BE32-E72D297353CC}">
              <c16:uniqueId val="{00000000-DD2F-4E84-B611-DC5D29B76EDC}"/>
            </c:ext>
          </c:extLst>
        </c:ser>
        <c:ser>
          <c:idx val="1"/>
          <c:order val="2"/>
          <c:tx>
            <c:strRef>
              <c:f>'Monthly Stats Data'!$A$136</c:f>
              <c:strCache>
                <c:ptCount val="1"/>
                <c:pt idx="0">
                  <c:v>Active With Offer</c:v>
                </c:pt>
              </c:strCache>
            </c:strRef>
          </c:tx>
          <c:spPr>
            <a:solidFill>
              <a:schemeClr val="accent1">
                <a:lumMod val="50000"/>
              </a:schemeClr>
            </a:solidFill>
            <a:ln>
              <a:noFill/>
            </a:ln>
            <a:effectLst/>
          </c:spPr>
          <c:cat>
            <c:strRef>
              <c:f>'Monthly Stats Data'!$B$133:$N$133</c:f>
              <c:strCache>
                <c:ptCount val="13"/>
                <c:pt idx="0">
                  <c:v>Dec</c:v>
                </c:pt>
                <c:pt idx="1">
                  <c:v>Jan</c:v>
                </c:pt>
                <c:pt idx="2">
                  <c:v>Feb</c:v>
                </c:pt>
                <c:pt idx="3">
                  <c:v>Mar</c:v>
                </c:pt>
                <c:pt idx="4">
                  <c:v>April</c:v>
                </c:pt>
                <c:pt idx="5">
                  <c:v>May</c:v>
                </c:pt>
                <c:pt idx="6">
                  <c:v>Jun</c:v>
                </c:pt>
                <c:pt idx="7">
                  <c:v>Jul</c:v>
                </c:pt>
                <c:pt idx="8">
                  <c:v>Aug</c:v>
                </c:pt>
                <c:pt idx="9">
                  <c:v>Sept</c:v>
                </c:pt>
                <c:pt idx="10">
                  <c:v>Oct</c:v>
                </c:pt>
                <c:pt idx="11">
                  <c:v>Nov</c:v>
                </c:pt>
                <c:pt idx="12">
                  <c:v>Dec</c:v>
                </c:pt>
              </c:strCache>
            </c:strRef>
          </c:cat>
          <c:val>
            <c:numRef>
              <c:f>'Monthly Stats Data'!$B$136:$N$136</c:f>
              <c:numCache>
                <c:formatCode>_(* #,##0_);_(* \(#,##0\);_(* "-"??_);_(@_)</c:formatCode>
                <c:ptCount val="13"/>
                <c:pt idx="0">
                  <c:v>1468</c:v>
                </c:pt>
                <c:pt idx="1">
                  <c:v>1654</c:v>
                </c:pt>
                <c:pt idx="2">
                  <c:v>1856</c:v>
                </c:pt>
                <c:pt idx="3">
                  <c:v>2387</c:v>
                </c:pt>
                <c:pt idx="4">
                  <c:v>2676</c:v>
                </c:pt>
                <c:pt idx="5">
                  <c:v>2791</c:v>
                </c:pt>
                <c:pt idx="6">
                  <c:v>2960</c:v>
                </c:pt>
                <c:pt idx="7">
                  <c:v>2849</c:v>
                </c:pt>
                <c:pt idx="8">
                  <c:v>2624</c:v>
                </c:pt>
                <c:pt idx="9">
                  <c:v>2638</c:v>
                </c:pt>
                <c:pt idx="10">
                  <c:v>2467</c:v>
                </c:pt>
                <c:pt idx="11">
                  <c:v>2029</c:v>
                </c:pt>
                <c:pt idx="12">
                  <c:v>1263</c:v>
                </c:pt>
              </c:numCache>
            </c:numRef>
          </c:val>
          <c:extLst>
            <c:ext xmlns:c16="http://schemas.microsoft.com/office/drawing/2014/chart" uri="{C3380CC4-5D6E-409C-BE32-E72D297353CC}">
              <c16:uniqueId val="{00000001-DD2F-4E84-B611-DC5D29B76EDC}"/>
            </c:ext>
          </c:extLst>
        </c:ser>
        <c:dLbls>
          <c:showLegendKey val="0"/>
          <c:showVal val="0"/>
          <c:showCatName val="0"/>
          <c:showSerName val="0"/>
          <c:showPercent val="0"/>
          <c:showBubbleSize val="0"/>
        </c:dLbls>
        <c:axId val="205910536"/>
        <c:axId val="458226432"/>
      </c:areaChart>
      <c:lineChart>
        <c:grouping val="standard"/>
        <c:varyColors val="0"/>
        <c:ser>
          <c:idx val="3"/>
          <c:order val="1"/>
          <c:tx>
            <c:strRef>
              <c:f>'Monthly Stats Data'!$A$137</c:f>
              <c:strCache>
                <c:ptCount val="1"/>
                <c:pt idx="0">
                  <c:v>Mos of Inventory</c:v>
                </c:pt>
              </c:strCache>
            </c:strRef>
          </c:tx>
          <c:spPr>
            <a:ln w="38100" cap="rnd">
              <a:solidFill>
                <a:schemeClr val="tx1">
                  <a:lumMod val="50000"/>
                  <a:lumOff val="50000"/>
                </a:schemeClr>
              </a:solidFill>
              <a:round/>
            </a:ln>
            <a:effectLst/>
          </c:spPr>
          <c:marker>
            <c:symbol val="none"/>
          </c:marker>
          <c:cat>
            <c:strRef>
              <c:f>'Monthly Stats Data'!$B$133:$N$133</c:f>
              <c:strCache>
                <c:ptCount val="13"/>
                <c:pt idx="0">
                  <c:v>Dec</c:v>
                </c:pt>
                <c:pt idx="1">
                  <c:v>Jan</c:v>
                </c:pt>
                <c:pt idx="2">
                  <c:v>Feb</c:v>
                </c:pt>
                <c:pt idx="3">
                  <c:v>Mar</c:v>
                </c:pt>
                <c:pt idx="4">
                  <c:v>April</c:v>
                </c:pt>
                <c:pt idx="5">
                  <c:v>May</c:v>
                </c:pt>
                <c:pt idx="6">
                  <c:v>Jun</c:v>
                </c:pt>
                <c:pt idx="7">
                  <c:v>Jul</c:v>
                </c:pt>
                <c:pt idx="8">
                  <c:v>Aug</c:v>
                </c:pt>
                <c:pt idx="9">
                  <c:v>Sept</c:v>
                </c:pt>
                <c:pt idx="10">
                  <c:v>Oct</c:v>
                </c:pt>
                <c:pt idx="11">
                  <c:v>Nov</c:v>
                </c:pt>
                <c:pt idx="12">
                  <c:v>Dec</c:v>
                </c:pt>
              </c:strCache>
            </c:strRef>
          </c:cat>
          <c:val>
            <c:numRef>
              <c:f>'Monthly Stats Data'!$B$137:$N$137</c:f>
              <c:numCache>
                <c:formatCode>_(* #,##0.0_);_(* \(#,##0.0\);_(* "-"??_);_(@_)</c:formatCode>
                <c:ptCount val="13"/>
                <c:pt idx="0">
                  <c:v>2</c:v>
                </c:pt>
                <c:pt idx="1">
                  <c:v>1.9</c:v>
                </c:pt>
                <c:pt idx="2">
                  <c:v>1.8</c:v>
                </c:pt>
                <c:pt idx="3">
                  <c:v>2.1</c:v>
                </c:pt>
                <c:pt idx="4">
                  <c:v>2.4</c:v>
                </c:pt>
                <c:pt idx="5">
                  <c:v>2.6</c:v>
                </c:pt>
                <c:pt idx="6">
                  <c:v>3</c:v>
                </c:pt>
                <c:pt idx="7">
                  <c:v>3.1</c:v>
                </c:pt>
                <c:pt idx="8">
                  <c:v>3.1</c:v>
                </c:pt>
                <c:pt idx="9">
                  <c:v>3</c:v>
                </c:pt>
                <c:pt idx="10">
                  <c:v>2.9</c:v>
                </c:pt>
                <c:pt idx="11">
                  <c:v>2.5</c:v>
                </c:pt>
                <c:pt idx="12">
                  <c:v>1.9</c:v>
                </c:pt>
              </c:numCache>
            </c:numRef>
          </c:val>
          <c:smooth val="0"/>
          <c:extLst>
            <c:ext xmlns:c16="http://schemas.microsoft.com/office/drawing/2014/chart" uri="{C3380CC4-5D6E-409C-BE32-E72D297353CC}">
              <c16:uniqueId val="{00000002-DD2F-4E84-B611-DC5D29B76EDC}"/>
            </c:ext>
          </c:extLst>
        </c:ser>
        <c:ser>
          <c:idx val="2"/>
          <c:order val="3"/>
          <c:tx>
            <c:strRef>
              <c:f>'Monthly Stats Data'!$A$138</c:f>
              <c:strCache>
                <c:ptCount val="1"/>
                <c:pt idx="0">
                  <c:v>Net Mos of Inventory</c:v>
                </c:pt>
              </c:strCache>
            </c:strRef>
          </c:tx>
          <c:spPr>
            <a:ln w="38100" cap="rnd">
              <a:solidFill>
                <a:sysClr val="windowText" lastClr="000000"/>
              </a:solidFill>
              <a:round/>
            </a:ln>
            <a:effectLst/>
          </c:spPr>
          <c:marker>
            <c:symbol val="none"/>
          </c:marker>
          <c:cat>
            <c:strRef>
              <c:f>'Monthly Stats Data'!$B$133:$N$133</c:f>
              <c:strCache>
                <c:ptCount val="13"/>
                <c:pt idx="0">
                  <c:v>Dec</c:v>
                </c:pt>
                <c:pt idx="1">
                  <c:v>Jan</c:v>
                </c:pt>
                <c:pt idx="2">
                  <c:v>Feb</c:v>
                </c:pt>
                <c:pt idx="3">
                  <c:v>Mar</c:v>
                </c:pt>
                <c:pt idx="4">
                  <c:v>April</c:v>
                </c:pt>
                <c:pt idx="5">
                  <c:v>May</c:v>
                </c:pt>
                <c:pt idx="6">
                  <c:v>Jun</c:v>
                </c:pt>
                <c:pt idx="7">
                  <c:v>Jul</c:v>
                </c:pt>
                <c:pt idx="8">
                  <c:v>Aug</c:v>
                </c:pt>
                <c:pt idx="9">
                  <c:v>Sept</c:v>
                </c:pt>
                <c:pt idx="10">
                  <c:v>Oct</c:v>
                </c:pt>
                <c:pt idx="11">
                  <c:v>Nov</c:v>
                </c:pt>
                <c:pt idx="12">
                  <c:v>Dec</c:v>
                </c:pt>
              </c:strCache>
            </c:strRef>
          </c:cat>
          <c:val>
            <c:numRef>
              <c:f>'Monthly Stats Data'!$B$138:$N$138</c:f>
              <c:numCache>
                <c:formatCode>0.0</c:formatCode>
                <c:ptCount val="13"/>
                <c:pt idx="0">
                  <c:v>0.8</c:v>
                </c:pt>
                <c:pt idx="1">
                  <c:v>0.7</c:v>
                </c:pt>
                <c:pt idx="2">
                  <c:v>0.6</c:v>
                </c:pt>
                <c:pt idx="3">
                  <c:v>0.6</c:v>
                </c:pt>
                <c:pt idx="4">
                  <c:v>0.7</c:v>
                </c:pt>
                <c:pt idx="5">
                  <c:v>0.8</c:v>
                </c:pt>
                <c:pt idx="6">
                  <c:v>1.2</c:v>
                </c:pt>
                <c:pt idx="7" formatCode="_(* #,##0.0_);_(* \(#,##0.0\);_(* &quot;-&quot;??_);_(@_)">
                  <c:v>1.3</c:v>
                </c:pt>
                <c:pt idx="8">
                  <c:v>1.4</c:v>
                </c:pt>
                <c:pt idx="9" formatCode="_(* #,##0.0_);_(* \(#,##0.0\);_(* &quot;-&quot;??_);_(@_)">
                  <c:v>1.3</c:v>
                </c:pt>
                <c:pt idx="10" formatCode="_(* #,##0.0_);_(* \(#,##0.0\);_(* &quot;-&quot;??_);_(@_)">
                  <c:v>1.1000000000000001</c:v>
                </c:pt>
                <c:pt idx="11" formatCode="_(* #,##0.0_);_(* \(#,##0.0\);_(* &quot;-&quot;??_);_(@_)">
                  <c:v>1</c:v>
                </c:pt>
                <c:pt idx="12" formatCode="_(* #,##0_);_(* \(#,##0\);_(* &quot;-&quot;??_);_(@_)">
                  <c:v>0.7</c:v>
                </c:pt>
              </c:numCache>
            </c:numRef>
          </c:val>
          <c:smooth val="0"/>
          <c:extLst>
            <c:ext xmlns:c16="http://schemas.microsoft.com/office/drawing/2014/chart" uri="{C3380CC4-5D6E-409C-BE32-E72D297353CC}">
              <c16:uniqueId val="{00000003-DD2F-4E84-B611-DC5D29B76EDC}"/>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solidFill>
            <a:schemeClr val="tx2">
              <a:lumMod val="60000"/>
              <a:lumOff val="40000"/>
            </a:schemeClr>
          </a:solidFill>
        </a:ln>
        <a:effectLst/>
      </c:spPr>
    </c:plotArea>
    <c:legend>
      <c:legendPos val="b"/>
      <c:layout>
        <c:manualLayout>
          <c:xMode val="edge"/>
          <c:yMode val="edge"/>
          <c:x val="0.22824074074074074"/>
          <c:y val="0.8407113954505685"/>
          <c:w val="0.57361111111111107"/>
          <c:h val="0.124566382327209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New Units Needed To Reach 6.0 Months</a:t>
            </a:r>
          </a:p>
        </c:rich>
      </c:tx>
      <c:layout>
        <c:manualLayout>
          <c:xMode val="edge"/>
          <c:yMode val="edge"/>
          <c:x val="0.24793589543028977"/>
          <c:y val="4.43213296398891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Current Listings</c:v>
          </c:tx>
          <c:spPr>
            <a:solidFill>
              <a:srgbClr val="335899"/>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Data'!$P$155,'Monthly Stats Data'!$P$157:$P$168)</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extLst/>
            </c:strRef>
          </c:cat>
          <c:val>
            <c:numRef>
              <c:f>('Monthly Stats Data'!$Q$155,'Monthly Stats Data'!$Q$157:$Q$168)</c:f>
              <c:numCache>
                <c:formatCode>_(* #,##0_);_(* \(#,##0\);_(* "-"??_);_(@_)</c:formatCode>
                <c:ptCount val="13"/>
                <c:pt idx="0">
                  <c:v>3630</c:v>
                </c:pt>
                <c:pt idx="1">
                  <c:v>3467</c:v>
                </c:pt>
                <c:pt idx="2">
                  <c:v>3334</c:v>
                </c:pt>
                <c:pt idx="3">
                  <c:v>3934</c:v>
                </c:pt>
                <c:pt idx="4">
                  <c:v>4438</c:v>
                </c:pt>
                <c:pt idx="5">
                  <c:v>4848</c:v>
                </c:pt>
                <c:pt idx="6">
                  <c:v>5710</c:v>
                </c:pt>
                <c:pt idx="7">
                  <c:v>6028</c:v>
                </c:pt>
                <c:pt idx="8">
                  <c:v>6082</c:v>
                </c:pt>
                <c:pt idx="9">
                  <c:v>5903</c:v>
                </c:pt>
                <c:pt idx="10">
                  <c:v>5604</c:v>
                </c:pt>
                <c:pt idx="11">
                  <c:v>4729</c:v>
                </c:pt>
                <c:pt idx="12">
                  <c:v>3597</c:v>
                </c:pt>
              </c:numCache>
              <c:extLst/>
            </c:numRef>
          </c:val>
          <c:extLst>
            <c:ext xmlns:c16="http://schemas.microsoft.com/office/drawing/2014/chart" uri="{C3380CC4-5D6E-409C-BE32-E72D297353CC}">
              <c16:uniqueId val="{00000000-BDE9-4AAE-B125-2CA39C448970}"/>
            </c:ext>
          </c:extLst>
        </c:ser>
        <c:ser>
          <c:idx val="3"/>
          <c:order val="1"/>
          <c:tx>
            <c:v>New Units Needed</c:v>
          </c:tx>
          <c:spPr>
            <a:solidFill>
              <a:srgbClr val="B3BEDF"/>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Data'!$P$155,'Monthly Stats Data'!$P$157:$P$168)</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extLst/>
            </c:strRef>
          </c:cat>
          <c:val>
            <c:numRef>
              <c:f>('Monthly Stats Data'!$T$155,'Monthly Stats Data'!$T$157:$T$168)</c:f>
              <c:numCache>
                <c:formatCode>_(* #,##0_);_(* \(#,##0\);_(* "-"??_);_(@_)</c:formatCode>
                <c:ptCount val="13"/>
                <c:pt idx="0">
                  <c:v>7150</c:v>
                </c:pt>
                <c:pt idx="1">
                  <c:v>7500</c:v>
                </c:pt>
                <c:pt idx="2">
                  <c:v>7675</c:v>
                </c:pt>
                <c:pt idx="3">
                  <c:v>7080</c:v>
                </c:pt>
                <c:pt idx="4">
                  <c:v>6575</c:v>
                </c:pt>
                <c:pt idx="5">
                  <c:v>6300</c:v>
                </c:pt>
                <c:pt idx="6">
                  <c:v>5650</c:v>
                </c:pt>
                <c:pt idx="7">
                  <c:v>5620</c:v>
                </c:pt>
                <c:pt idx="8">
                  <c:v>5625</c:v>
                </c:pt>
                <c:pt idx="9">
                  <c:v>5825</c:v>
                </c:pt>
                <c:pt idx="10">
                  <c:v>6075</c:v>
                </c:pt>
                <c:pt idx="11">
                  <c:v>6850</c:v>
                </c:pt>
                <c:pt idx="12">
                  <c:v>7983</c:v>
                </c:pt>
              </c:numCache>
              <c:extLst/>
            </c:numRef>
          </c:val>
          <c:extLst>
            <c:ext xmlns:c16="http://schemas.microsoft.com/office/drawing/2014/chart" uri="{C3380CC4-5D6E-409C-BE32-E72D297353CC}">
              <c16:uniqueId val="{00000001-BDE9-4AAE-B125-2CA39C448970}"/>
            </c:ext>
          </c:extLst>
        </c:ser>
        <c:dLbls>
          <c:showLegendKey val="0"/>
          <c:showVal val="0"/>
          <c:showCatName val="0"/>
          <c:showSerName val="0"/>
          <c:showPercent val="0"/>
          <c:showBubbleSize val="0"/>
        </c:dLbls>
        <c:gapWidth val="65"/>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53232"/>
        <c:crosses val="autoZero"/>
        <c:auto val="1"/>
        <c:lblAlgn val="ctr"/>
        <c:lblOffset val="100"/>
        <c:noMultiLvlLbl val="0"/>
      </c:catAx>
      <c:valAx>
        <c:axId val="12541532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4</a:t>
            </a:r>
            <a:r>
              <a:rPr lang="en-US" baseline="0">
                <a:solidFill>
                  <a:sysClr val="windowText" lastClr="000000"/>
                </a:solidFill>
              </a:rPr>
              <a:t> County Avg Sale Price</a:t>
            </a:r>
            <a:endParaRPr lang="en-US">
              <a:solidFill>
                <a:sysClr val="windowText" lastClr="000000"/>
              </a:solidFill>
            </a:endParaRPr>
          </a:p>
        </c:rich>
      </c:tx>
      <c:layout>
        <c:manualLayout>
          <c:xMode val="edge"/>
          <c:yMode val="edge"/>
          <c:x val="0.34451381604280917"/>
          <c:y val="8.63849765258215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188636609504889"/>
          <c:y val="0.16243803089282413"/>
          <c:w val="0.81266451266545536"/>
          <c:h val="0.67791272046104745"/>
        </c:manualLayout>
      </c:layout>
      <c:barChart>
        <c:barDir val="col"/>
        <c:grouping val="clustered"/>
        <c:varyColors val="0"/>
        <c:ser>
          <c:idx val="1"/>
          <c:order val="0"/>
          <c:tx>
            <c:strRef>
              <c:f>'4th QTR County Data'!$E$158</c:f>
              <c:strCache>
                <c:ptCount val="1"/>
                <c:pt idx="0">
                  <c:v>Avg Sale Price</c:v>
                </c:pt>
              </c:strCache>
            </c:strRef>
          </c:tx>
          <c:spPr>
            <a:solidFill>
              <a:srgbClr val="335899"/>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defRPr sz="10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'4th QTR County Data'!$B$174:$B$195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'4th QTR County Data'!$E$174:$E$195</c:f>
              <c:numCache>
                <c:formatCode>_("$"* #,##0_);_("$"* \(#,##0\);_("$"* "-"??_);_(@_)</c:formatCode>
                <c:ptCount val="22"/>
                <c:pt idx="0">
                  <c:v>181287.5</c:v>
                </c:pt>
                <c:pt idx="1">
                  <c:v>187931</c:v>
                </c:pt>
                <c:pt idx="2">
                  <c:v>205944.5</c:v>
                </c:pt>
                <c:pt idx="3">
                  <c:v>216532</c:v>
                </c:pt>
                <c:pt idx="4">
                  <c:v>237872.5</c:v>
                </c:pt>
                <c:pt idx="5">
                  <c:v>248510</c:v>
                </c:pt>
                <c:pt idx="6">
                  <c:v>257130.75</c:v>
                </c:pt>
                <c:pt idx="7">
                  <c:v>261279.75</c:v>
                </c:pt>
                <c:pt idx="8">
                  <c:v>246983.25</c:v>
                </c:pt>
                <c:pt idx="9">
                  <c:v>222295.25</c:v>
                </c:pt>
                <c:pt idx="10">
                  <c:v>226301.25</c:v>
                </c:pt>
                <c:pt idx="11">
                  <c:v>214727.25</c:v>
                </c:pt>
                <c:pt idx="12">
                  <c:v>211151.5</c:v>
                </c:pt>
                <c:pt idx="13">
                  <c:v>225668.25</c:v>
                </c:pt>
                <c:pt idx="14">
                  <c:v>230677.25</c:v>
                </c:pt>
                <c:pt idx="15">
                  <c:v>243028.75</c:v>
                </c:pt>
                <c:pt idx="16">
                  <c:v>252629.75</c:v>
                </c:pt>
                <c:pt idx="17">
                  <c:v>266303.5</c:v>
                </c:pt>
                <c:pt idx="18">
                  <c:v>283048</c:v>
                </c:pt>
                <c:pt idx="19">
                  <c:v>304537.25</c:v>
                </c:pt>
                <c:pt idx="20">
                  <c:v>325308.75</c:v>
                </c:pt>
                <c:pt idx="21">
                  <c:v>361966.25</c:v>
                </c:pt>
              </c:numCache>
            </c:numRef>
          </c:val>
          <c:extLst>
            <c:ext xmlns:c16="http://schemas.microsoft.com/office/drawing/2014/chart" uri="{C3380CC4-5D6E-409C-BE32-E72D297353CC}">
              <c16:uniqueId val="{00000001-14C3-4BA3-8682-070453A5E360}"/>
            </c:ext>
          </c:extLst>
        </c:ser>
        <c:dLbls>
          <c:dLblPos val="inEnd"/>
          <c:showLegendKey val="0"/>
          <c:showVal val="1"/>
          <c:showCatName val="0"/>
          <c:showSerName val="0"/>
          <c:showPercent val="0"/>
          <c:showBubbleSize val="0"/>
        </c:dLbls>
        <c:gapWidth val="50"/>
        <c:overlap val="-61"/>
        <c:axId val="510562616"/>
        <c:axId val="510563008"/>
      </c:barChart>
      <c:catAx>
        <c:axId val="51056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10563008"/>
        <c:crosses val="autoZero"/>
        <c:auto val="1"/>
        <c:lblAlgn val="ctr"/>
        <c:lblOffset val="100"/>
        <c:noMultiLvlLbl val="0"/>
      </c:catAx>
      <c:valAx>
        <c:axId val="510563008"/>
        <c:scaling>
          <c:orientation val="minMax"/>
          <c:max val="375000"/>
          <c:min val="0"/>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10562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4 County Unit 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63500" cap="rnd">
              <a:solidFill>
                <a:srgbClr val="335899"/>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'4th QTR County Data'!$B$174:$B$195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'4th QTR County Data'!$C$174:$C$195</c:f>
              <c:numCache>
                <c:formatCode>_(* #,##0_);_(* \(#,##0\);_(* "-"??_);_(@_)</c:formatCode>
                <c:ptCount val="22"/>
                <c:pt idx="0">
                  <c:v>16311</c:v>
                </c:pt>
                <c:pt idx="1">
                  <c:v>17326</c:v>
                </c:pt>
                <c:pt idx="2">
                  <c:v>18479</c:v>
                </c:pt>
                <c:pt idx="3">
                  <c:v>19359</c:v>
                </c:pt>
                <c:pt idx="4">
                  <c:v>20427</c:v>
                </c:pt>
                <c:pt idx="5">
                  <c:v>21642</c:v>
                </c:pt>
                <c:pt idx="6">
                  <c:v>20071</c:v>
                </c:pt>
                <c:pt idx="7">
                  <c:v>17231</c:v>
                </c:pt>
                <c:pt idx="8">
                  <c:v>14119</c:v>
                </c:pt>
                <c:pt idx="9">
                  <c:v>13853</c:v>
                </c:pt>
                <c:pt idx="10">
                  <c:v>12865</c:v>
                </c:pt>
                <c:pt idx="11">
                  <c:v>13278</c:v>
                </c:pt>
                <c:pt idx="12">
                  <c:v>16579</c:v>
                </c:pt>
                <c:pt idx="13">
                  <c:v>18203</c:v>
                </c:pt>
                <c:pt idx="14">
                  <c:v>17749</c:v>
                </c:pt>
                <c:pt idx="15">
                  <c:v>19611</c:v>
                </c:pt>
                <c:pt idx="16">
                  <c:v>21006</c:v>
                </c:pt>
                <c:pt idx="17">
                  <c:v>21357</c:v>
                </c:pt>
                <c:pt idx="18">
                  <c:v>21061</c:v>
                </c:pt>
                <c:pt idx="19">
                  <c:v>21133</c:v>
                </c:pt>
                <c:pt idx="20">
                  <c:v>22445</c:v>
                </c:pt>
                <c:pt idx="21">
                  <c:v>23827</c:v>
                </c:pt>
              </c:numCache>
            </c:numRef>
          </c:val>
          <c:smooth val="0"/>
          <c:extLst>
            <c:ext xmlns:c16="http://schemas.microsoft.com/office/drawing/2014/chart" uri="{C3380CC4-5D6E-409C-BE32-E72D297353CC}">
              <c16:uniqueId val="{00000000-685C-4E8F-90E5-D8DD46721BE1}"/>
            </c:ext>
          </c:extLst>
        </c:ser>
        <c:dLbls>
          <c:showLegendKey val="0"/>
          <c:showVal val="0"/>
          <c:showCatName val="0"/>
          <c:showSerName val="0"/>
          <c:showPercent val="0"/>
          <c:showBubbleSize val="0"/>
        </c:dLbls>
        <c:smooth val="0"/>
        <c:axId val="1845231584"/>
        <c:axId val="1845232000"/>
      </c:lineChart>
      <c:catAx>
        <c:axId val="184523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845232000"/>
        <c:crosses val="autoZero"/>
        <c:auto val="1"/>
        <c:lblAlgn val="ctr"/>
        <c:lblOffset val="100"/>
        <c:noMultiLvlLbl val="0"/>
      </c:catAx>
      <c:valAx>
        <c:axId val="1845232000"/>
        <c:scaling>
          <c:orientation val="minMax"/>
          <c:min val="1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845231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aseline="0">
                <a:solidFill>
                  <a:sysClr val="windowText" lastClr="000000"/>
                </a:solidFill>
              </a:rPr>
              <a:t>7 County Avg Sale Price</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188636609504889"/>
          <c:y val="0.16243803089282413"/>
          <c:w val="0.81266451266545536"/>
          <c:h val="0.67791272046104745"/>
        </c:manualLayout>
      </c:layout>
      <c:barChart>
        <c:barDir val="col"/>
        <c:grouping val="clustered"/>
        <c:varyColors val="0"/>
        <c:ser>
          <c:idx val="1"/>
          <c:order val="0"/>
          <c:tx>
            <c:strRef>
              <c:f>'4th QTR County Data'!$E$291</c:f>
              <c:strCache>
                <c:ptCount val="1"/>
                <c:pt idx="0">
                  <c:v>Avg Sale Price</c:v>
                </c:pt>
              </c:strCache>
            </c:strRef>
          </c:tx>
          <c:spPr>
            <a:solidFill>
              <a:srgbClr val="335899"/>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defRPr sz="10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'4th QTR County Data'!$B$293:$B$314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'4th QTR County Data'!$E$293:$E$314</c:f>
              <c:numCache>
                <c:formatCode>_("$"* #,##0_);_("$"* \(#,##0\);_("$"* "-"??_);_(@_)</c:formatCode>
                <c:ptCount val="22"/>
                <c:pt idx="0">
                  <c:v>165814.14285714287</c:v>
                </c:pt>
                <c:pt idx="1">
                  <c:v>174522.28571428571</c:v>
                </c:pt>
                <c:pt idx="2">
                  <c:v>188117.71428571429</c:v>
                </c:pt>
                <c:pt idx="3">
                  <c:v>198969.28571428571</c:v>
                </c:pt>
                <c:pt idx="4">
                  <c:v>219760.42857142858</c:v>
                </c:pt>
                <c:pt idx="5">
                  <c:v>234400.85714285713</c:v>
                </c:pt>
                <c:pt idx="6">
                  <c:v>243372.14285714287</c:v>
                </c:pt>
                <c:pt idx="7">
                  <c:v>247233.28571428571</c:v>
                </c:pt>
                <c:pt idx="8">
                  <c:v>233756</c:v>
                </c:pt>
                <c:pt idx="9">
                  <c:v>205254.71428571429</c:v>
                </c:pt>
                <c:pt idx="10">
                  <c:v>208391.28571428571</c:v>
                </c:pt>
                <c:pt idx="11">
                  <c:v>193233.57142857142</c:v>
                </c:pt>
                <c:pt idx="12">
                  <c:v>193409.42857142858</c:v>
                </c:pt>
                <c:pt idx="13">
                  <c:v>201986.42857142858</c:v>
                </c:pt>
                <c:pt idx="14">
                  <c:v>211524.85714285713</c:v>
                </c:pt>
                <c:pt idx="15">
                  <c:v>222549.14285714287</c:v>
                </c:pt>
                <c:pt idx="16">
                  <c:v>232299.71428571429</c:v>
                </c:pt>
                <c:pt idx="17">
                  <c:v>247381.14285714287</c:v>
                </c:pt>
                <c:pt idx="18">
                  <c:v>264087.28571428574</c:v>
                </c:pt>
                <c:pt idx="19">
                  <c:v>281515.14285714284</c:v>
                </c:pt>
                <c:pt idx="20">
                  <c:v>308494</c:v>
                </c:pt>
                <c:pt idx="21">
                  <c:v>303977.14285714284</c:v>
                </c:pt>
              </c:numCache>
            </c:numRef>
          </c:val>
          <c:extLst>
            <c:ext xmlns:c16="http://schemas.microsoft.com/office/drawing/2014/chart" uri="{C3380CC4-5D6E-409C-BE32-E72D297353CC}">
              <c16:uniqueId val="{00000000-34A0-488D-A057-57FD1952C0E7}"/>
            </c:ext>
          </c:extLst>
        </c:ser>
        <c:dLbls>
          <c:dLblPos val="inEnd"/>
          <c:showLegendKey val="0"/>
          <c:showVal val="1"/>
          <c:showCatName val="0"/>
          <c:showSerName val="0"/>
          <c:showPercent val="0"/>
          <c:showBubbleSize val="0"/>
        </c:dLbls>
        <c:gapWidth val="50"/>
        <c:overlap val="-61"/>
        <c:axId val="510562616"/>
        <c:axId val="510563008"/>
      </c:barChart>
      <c:catAx>
        <c:axId val="51056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10563008"/>
        <c:crosses val="autoZero"/>
        <c:auto val="1"/>
        <c:lblAlgn val="ctr"/>
        <c:lblOffset val="100"/>
        <c:noMultiLvlLbl val="0"/>
      </c:catAx>
      <c:valAx>
        <c:axId val="51056300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10562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7 County Total Sales</a:t>
            </a:r>
          </a:p>
        </c:rich>
      </c:tx>
      <c:layout>
        <c:manualLayout>
          <c:xMode val="edge"/>
          <c:yMode val="edge"/>
          <c:x val="0.38212365591397851"/>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63500" cap="rnd">
              <a:solidFill>
                <a:srgbClr val="335899"/>
              </a:solidFill>
              <a:round/>
            </a:ln>
            <a:effectLst/>
          </c:spPr>
          <c:marker>
            <c:symbol val="circle"/>
            <c:size val="5"/>
            <c:spPr>
              <a:noFill/>
              <a:ln w="31750">
                <a:noFill/>
              </a:ln>
              <a:effectLst/>
            </c:spPr>
          </c:marker>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'4th QTR County Data'!$B$293:$B$314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'4th QTR County Data'!$C$293:$C$314</c:f>
              <c:numCache>
                <c:formatCode>_(* #,##0_);_(* \(#,##0\);_(* "-"??_);_(@_)</c:formatCode>
                <c:ptCount val="22"/>
                <c:pt idx="0">
                  <c:v>22015</c:v>
                </c:pt>
                <c:pt idx="1">
                  <c:v>23214</c:v>
                </c:pt>
                <c:pt idx="2">
                  <c:v>25057</c:v>
                </c:pt>
                <c:pt idx="3">
                  <c:v>26172</c:v>
                </c:pt>
                <c:pt idx="4">
                  <c:v>27924</c:v>
                </c:pt>
                <c:pt idx="5">
                  <c:v>29254</c:v>
                </c:pt>
                <c:pt idx="6">
                  <c:v>26684</c:v>
                </c:pt>
                <c:pt idx="7">
                  <c:v>23016</c:v>
                </c:pt>
                <c:pt idx="8">
                  <c:v>18558</c:v>
                </c:pt>
                <c:pt idx="9">
                  <c:v>18048</c:v>
                </c:pt>
                <c:pt idx="10">
                  <c:v>17031</c:v>
                </c:pt>
                <c:pt idx="11">
                  <c:v>17714</c:v>
                </c:pt>
                <c:pt idx="12">
                  <c:v>21741</c:v>
                </c:pt>
                <c:pt idx="13">
                  <c:v>24127</c:v>
                </c:pt>
                <c:pt idx="14">
                  <c:v>23461</c:v>
                </c:pt>
                <c:pt idx="15">
                  <c:v>26210</c:v>
                </c:pt>
                <c:pt idx="16">
                  <c:v>28084</c:v>
                </c:pt>
                <c:pt idx="17">
                  <c:v>28592</c:v>
                </c:pt>
                <c:pt idx="18">
                  <c:v>28177</c:v>
                </c:pt>
                <c:pt idx="19">
                  <c:v>28230</c:v>
                </c:pt>
                <c:pt idx="20">
                  <c:v>30083</c:v>
                </c:pt>
                <c:pt idx="21">
                  <c:v>31852</c:v>
                </c:pt>
              </c:numCache>
            </c:numRef>
          </c:val>
          <c:smooth val="0"/>
          <c:extLst>
            <c:ext xmlns:c16="http://schemas.microsoft.com/office/drawing/2014/chart" uri="{C3380CC4-5D6E-409C-BE32-E72D297353CC}">
              <c16:uniqueId val="{00000000-26FE-4EAC-873B-011FA9152817}"/>
            </c:ext>
          </c:extLst>
        </c:ser>
        <c:dLbls>
          <c:showLegendKey val="0"/>
          <c:showVal val="0"/>
          <c:showCatName val="0"/>
          <c:showSerName val="0"/>
          <c:showPercent val="0"/>
          <c:showBubbleSize val="0"/>
        </c:dLbls>
        <c:marker val="1"/>
        <c:smooth val="0"/>
        <c:axId val="1900134960"/>
        <c:axId val="1900140784"/>
      </c:lineChart>
      <c:catAx>
        <c:axId val="190013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00140784"/>
        <c:crosses val="autoZero"/>
        <c:auto val="1"/>
        <c:lblAlgn val="ctr"/>
        <c:lblOffset val="100"/>
        <c:noMultiLvlLbl val="0"/>
      </c:catAx>
      <c:valAx>
        <c:axId val="1900140784"/>
        <c:scaling>
          <c:orientation val="minMax"/>
          <c:max val="35000"/>
          <c:min val="15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00134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C631-8471-4ACA-952D-531C6F7B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9</cp:revision>
  <cp:lastPrinted>2022-01-12T14:23:00Z</cp:lastPrinted>
  <dcterms:created xsi:type="dcterms:W3CDTF">2022-01-11T12:20:00Z</dcterms:created>
  <dcterms:modified xsi:type="dcterms:W3CDTF">2022-01-12T17:15:00Z</dcterms:modified>
</cp:coreProperties>
</file>